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DE7A42" w:rsidRDefault="00E77CB3" w:rsidP="00DE7A42">
      <w:pPr>
        <w:jc w:val="center"/>
        <w:rPr>
          <w:lang w:val="fr-FR"/>
        </w:rPr>
      </w:pPr>
      <w:bookmarkStart w:id="0" w:name="_GoBack"/>
      <w:bookmarkEnd w:id="0"/>
    </w:p>
    <w:p w:rsidR="004831D1" w:rsidRPr="00DE7A42" w:rsidRDefault="004831D1" w:rsidP="00DE7A42">
      <w:pPr>
        <w:jc w:val="center"/>
        <w:rPr>
          <w:lang w:val="fr-FR"/>
        </w:rPr>
      </w:pPr>
    </w:p>
    <w:p w:rsidR="004831D1" w:rsidRPr="00DE7A42" w:rsidRDefault="004831D1" w:rsidP="00DE7A42">
      <w:pPr>
        <w:jc w:val="center"/>
        <w:rPr>
          <w:lang w:val="fr-FR"/>
        </w:rPr>
      </w:pPr>
    </w:p>
    <w:p w:rsidR="00E77CB3" w:rsidRPr="00DE7A42" w:rsidRDefault="00B60430" w:rsidP="00DE7A42">
      <w:pPr>
        <w:jc w:val="center"/>
        <w:rPr>
          <w:lang w:val="fr-FR"/>
        </w:rPr>
      </w:pPr>
      <w:r w:rsidRPr="00DE7A42">
        <w:rPr>
          <w:lang w:val="fr-FR"/>
        </w:rPr>
        <w:t>PREMIÈRE SECTION</w:t>
      </w:r>
    </w:p>
    <w:p w:rsidR="00E77CB3" w:rsidRPr="00DE7A42" w:rsidRDefault="00E77CB3" w:rsidP="00DE7A42">
      <w:pPr>
        <w:jc w:val="center"/>
        <w:rPr>
          <w:lang w:val="fr-FR"/>
        </w:rPr>
      </w:pPr>
    </w:p>
    <w:p w:rsidR="004831D1" w:rsidRPr="00DE7A42" w:rsidRDefault="004831D1" w:rsidP="00DE7A42">
      <w:pPr>
        <w:jc w:val="center"/>
        <w:rPr>
          <w:lang w:val="fr-FR"/>
        </w:rPr>
      </w:pPr>
    </w:p>
    <w:p w:rsidR="004831D1" w:rsidRPr="00DE7A42" w:rsidRDefault="004831D1" w:rsidP="00DE7A42">
      <w:pPr>
        <w:jc w:val="center"/>
        <w:rPr>
          <w:lang w:val="fr-FR"/>
        </w:rPr>
      </w:pPr>
    </w:p>
    <w:p w:rsidR="004831D1" w:rsidRPr="00DE7A42" w:rsidRDefault="004831D1" w:rsidP="00DE7A42">
      <w:pPr>
        <w:jc w:val="center"/>
        <w:rPr>
          <w:lang w:val="fr-FR"/>
        </w:rPr>
      </w:pPr>
    </w:p>
    <w:p w:rsidR="0006304D" w:rsidRPr="00DE7A42" w:rsidRDefault="0006304D" w:rsidP="00DE7A42">
      <w:pPr>
        <w:jc w:val="center"/>
        <w:rPr>
          <w:lang w:val="fr-FR"/>
        </w:rPr>
      </w:pPr>
    </w:p>
    <w:p w:rsidR="004831D1" w:rsidRPr="00DE7A42" w:rsidRDefault="004831D1" w:rsidP="00DE7A42">
      <w:pPr>
        <w:jc w:val="center"/>
        <w:rPr>
          <w:lang w:val="fr-FR"/>
        </w:rPr>
      </w:pPr>
    </w:p>
    <w:p w:rsidR="004831D1" w:rsidRPr="00DE7A42" w:rsidRDefault="004831D1" w:rsidP="00DE7A42">
      <w:pPr>
        <w:jc w:val="center"/>
        <w:rPr>
          <w:lang w:val="fr-FR"/>
        </w:rPr>
      </w:pPr>
    </w:p>
    <w:p w:rsidR="00E77CB3" w:rsidRPr="00DE7A42" w:rsidRDefault="00E77CB3" w:rsidP="00DE7A42">
      <w:pPr>
        <w:jc w:val="center"/>
        <w:rPr>
          <w:b/>
          <w:lang w:val="fr-FR"/>
        </w:rPr>
      </w:pPr>
      <w:bookmarkStart w:id="1" w:name="To"/>
      <w:r w:rsidRPr="00DE7A42">
        <w:rPr>
          <w:b/>
          <w:lang w:val="fr-FR"/>
        </w:rPr>
        <w:t xml:space="preserve">AFFAIRE </w:t>
      </w:r>
      <w:bookmarkEnd w:id="1"/>
      <w:r w:rsidR="00B60430" w:rsidRPr="00DE7A42">
        <w:rPr>
          <w:b/>
          <w:lang w:val="fr-FR"/>
        </w:rPr>
        <w:t>FOURKIOTIS c. GRÈCE</w:t>
      </w:r>
    </w:p>
    <w:p w:rsidR="00E77CB3" w:rsidRPr="00DE7A42" w:rsidRDefault="00E77CB3" w:rsidP="00DE7A42">
      <w:pPr>
        <w:jc w:val="center"/>
        <w:rPr>
          <w:lang w:val="fr-FR"/>
        </w:rPr>
      </w:pPr>
    </w:p>
    <w:p w:rsidR="00E77CB3" w:rsidRPr="00DE7A42" w:rsidRDefault="00E77CB3" w:rsidP="00DE7A42">
      <w:pPr>
        <w:jc w:val="center"/>
        <w:rPr>
          <w:szCs w:val="24"/>
          <w:u w:val="single"/>
          <w:lang w:val="fr-FR"/>
        </w:rPr>
      </w:pPr>
      <w:r w:rsidRPr="00DE7A42">
        <w:rPr>
          <w:i/>
          <w:lang w:val="fr-FR"/>
        </w:rPr>
        <w:t>(</w:t>
      </w:r>
      <w:r w:rsidR="00B60430" w:rsidRPr="00DE7A42">
        <w:rPr>
          <w:i/>
          <w:lang w:val="fr-FR"/>
        </w:rPr>
        <w:t>Requête n</w:t>
      </w:r>
      <w:r w:rsidR="00B60430" w:rsidRPr="00DE7A42">
        <w:rPr>
          <w:i/>
          <w:vertAlign w:val="superscript"/>
          <w:lang w:val="fr-FR"/>
        </w:rPr>
        <w:t>o</w:t>
      </w:r>
      <w:r w:rsidR="00B60430" w:rsidRPr="00DE7A42">
        <w:rPr>
          <w:i/>
          <w:lang w:val="fr-FR"/>
        </w:rPr>
        <w:t xml:space="preserve"> 74758/11</w:t>
      </w:r>
      <w:r w:rsidRPr="00DE7A42">
        <w:rPr>
          <w:i/>
          <w:lang w:val="fr-FR"/>
        </w:rPr>
        <w:t>)</w:t>
      </w: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szCs w:val="24"/>
          <w:lang w:val="fr-FR"/>
        </w:rPr>
      </w:pPr>
    </w:p>
    <w:p w:rsidR="004831D1" w:rsidRPr="00DE7A42" w:rsidRDefault="004831D1" w:rsidP="00DE7A42">
      <w:pPr>
        <w:jc w:val="center"/>
        <w:rPr>
          <w:lang w:val="fr-FR"/>
        </w:rPr>
      </w:pPr>
      <w:r w:rsidRPr="00DE7A42">
        <w:rPr>
          <w:lang w:val="fr-FR"/>
        </w:rPr>
        <w:t>ARRÊT</w:t>
      </w:r>
    </w:p>
    <w:p w:rsidR="004831D1" w:rsidRPr="00DE7A42" w:rsidRDefault="004831D1" w:rsidP="00DE7A42">
      <w:pPr>
        <w:jc w:val="center"/>
        <w:rPr>
          <w:lang w:val="fr-FR"/>
        </w:rPr>
      </w:pPr>
    </w:p>
    <w:p w:rsidR="004831D1" w:rsidRPr="00DE7A42" w:rsidRDefault="004831D1" w:rsidP="00DE7A42">
      <w:pPr>
        <w:jc w:val="center"/>
        <w:rPr>
          <w:lang w:val="fr-FR"/>
        </w:rPr>
      </w:pPr>
    </w:p>
    <w:p w:rsidR="004831D1" w:rsidRPr="00DE7A42" w:rsidRDefault="004831D1" w:rsidP="00DE7A42">
      <w:pPr>
        <w:jc w:val="center"/>
        <w:rPr>
          <w:lang w:val="fr-FR"/>
        </w:rPr>
      </w:pPr>
      <w:r w:rsidRPr="00DE7A42">
        <w:rPr>
          <w:lang w:val="fr-FR"/>
        </w:rPr>
        <w:t>STRASBOURG</w:t>
      </w:r>
    </w:p>
    <w:p w:rsidR="004831D1" w:rsidRPr="00DE7A42" w:rsidRDefault="004831D1" w:rsidP="00DE7A42">
      <w:pPr>
        <w:jc w:val="center"/>
        <w:rPr>
          <w:lang w:val="fr-FR"/>
        </w:rPr>
      </w:pPr>
    </w:p>
    <w:p w:rsidR="004831D1" w:rsidRPr="00DE7A42" w:rsidRDefault="004831D1" w:rsidP="00DE7A42">
      <w:pPr>
        <w:jc w:val="center"/>
        <w:rPr>
          <w:lang w:val="fr-FR"/>
        </w:rPr>
      </w:pPr>
      <w:r w:rsidRPr="00DE7A42">
        <w:rPr>
          <w:lang w:val="fr-FR"/>
        </w:rPr>
        <w:t>16 juin 2016</w:t>
      </w:r>
    </w:p>
    <w:p w:rsidR="004831D1" w:rsidRPr="00DE7A42" w:rsidRDefault="004831D1" w:rsidP="00DE7A42">
      <w:pPr>
        <w:jc w:val="center"/>
        <w:rPr>
          <w:lang w:val="fr-FR"/>
        </w:rPr>
      </w:pPr>
    </w:p>
    <w:p w:rsidR="0006304D" w:rsidRPr="00DE7A42" w:rsidRDefault="0006304D" w:rsidP="00DE7A42">
      <w:pPr>
        <w:jc w:val="center"/>
        <w:rPr>
          <w:lang w:val="fr-FR"/>
        </w:rPr>
      </w:pPr>
    </w:p>
    <w:p w:rsidR="0006304D" w:rsidRPr="00DE7A42" w:rsidRDefault="0006304D" w:rsidP="00DE7A42">
      <w:pPr>
        <w:jc w:val="center"/>
        <w:rPr>
          <w:lang w:val="fr-FR"/>
        </w:rPr>
      </w:pPr>
    </w:p>
    <w:p w:rsidR="004831D1" w:rsidRPr="00DE7A42" w:rsidRDefault="004831D1" w:rsidP="00DE7A42">
      <w:pPr>
        <w:jc w:val="center"/>
        <w:rPr>
          <w:lang w:val="fr-FR"/>
        </w:rPr>
      </w:pPr>
    </w:p>
    <w:p w:rsidR="004831D1" w:rsidRPr="00DE7A42" w:rsidRDefault="004831D1" w:rsidP="00DE7A42">
      <w:pPr>
        <w:pStyle w:val="ECHRPara"/>
        <w:ind w:firstLine="0"/>
        <w:rPr>
          <w:i/>
          <w:sz w:val="22"/>
          <w:lang w:val="fr-FR"/>
        </w:rPr>
      </w:pPr>
      <w:r w:rsidRPr="00DE7A42">
        <w:rPr>
          <w:i/>
          <w:sz w:val="22"/>
          <w:lang w:val="fr-FR"/>
        </w:rPr>
        <w:t>Cet arrêt deviendra définitif dans les conditions définies à l</w:t>
      </w:r>
      <w:r w:rsidR="00DE7A42" w:rsidRPr="00DE7A42">
        <w:rPr>
          <w:i/>
          <w:sz w:val="22"/>
          <w:lang w:val="fr-FR"/>
        </w:rPr>
        <w:t>’</w:t>
      </w:r>
      <w:r w:rsidRPr="00DE7A42">
        <w:rPr>
          <w:i/>
          <w:sz w:val="22"/>
          <w:lang w:val="fr-FR"/>
        </w:rPr>
        <w:t>article 44 § 2 de la Convention. Il peut subir des retouches de forme.</w:t>
      </w:r>
    </w:p>
    <w:p w:rsidR="004831D1" w:rsidRPr="00DE7A42" w:rsidRDefault="004831D1" w:rsidP="00DE7A42">
      <w:pPr>
        <w:pStyle w:val="ECHRPara"/>
        <w:ind w:firstLine="0"/>
        <w:rPr>
          <w:lang w:val="fr-FR"/>
        </w:rPr>
      </w:pPr>
    </w:p>
    <w:p w:rsidR="0006304D" w:rsidRPr="00DE7A42" w:rsidRDefault="0006304D" w:rsidP="00DE7A42">
      <w:pPr>
        <w:pStyle w:val="ECHRPara"/>
        <w:ind w:firstLine="0"/>
        <w:rPr>
          <w:lang w:val="fr-FR"/>
        </w:rPr>
        <w:sectPr w:rsidR="0006304D" w:rsidRPr="00DE7A42" w:rsidSect="004831D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DE7A42" w:rsidRDefault="00E77CB3" w:rsidP="00DE7A42">
      <w:pPr>
        <w:pStyle w:val="JuCase"/>
        <w:rPr>
          <w:lang w:val="fr-FR"/>
        </w:rPr>
      </w:pPr>
      <w:r w:rsidRPr="00DE7A42">
        <w:rPr>
          <w:lang w:val="fr-FR"/>
        </w:rPr>
        <w:t>En l</w:t>
      </w:r>
      <w:r w:rsidR="00DE7A42" w:rsidRPr="00DE7A42">
        <w:rPr>
          <w:lang w:val="fr-FR"/>
        </w:rPr>
        <w:t>’</w:t>
      </w:r>
      <w:r w:rsidRPr="00DE7A42">
        <w:rPr>
          <w:lang w:val="fr-FR"/>
        </w:rPr>
        <w:t xml:space="preserve">affaire </w:t>
      </w:r>
      <w:r w:rsidR="00B60430" w:rsidRPr="00DE7A42">
        <w:rPr>
          <w:lang w:val="fr-FR"/>
        </w:rPr>
        <w:t>Fourkiotis c. Grèce</w:t>
      </w:r>
      <w:r w:rsidRPr="00DE7A42">
        <w:rPr>
          <w:lang w:val="fr-FR"/>
        </w:rPr>
        <w:t>,</w:t>
      </w:r>
    </w:p>
    <w:p w:rsidR="00E77CB3" w:rsidRPr="00DE7A42" w:rsidRDefault="00E77CB3" w:rsidP="00DE7A42">
      <w:pPr>
        <w:pStyle w:val="ECHRPara"/>
        <w:rPr>
          <w:lang w:val="fr-FR"/>
        </w:rPr>
      </w:pPr>
      <w:r w:rsidRPr="00DE7A42">
        <w:rPr>
          <w:lang w:val="fr-FR"/>
        </w:rPr>
        <w:t>La Cour européenne des droits de l</w:t>
      </w:r>
      <w:r w:rsidR="00DE7A42" w:rsidRPr="00DE7A42">
        <w:rPr>
          <w:lang w:val="fr-FR"/>
        </w:rPr>
        <w:t>’</w:t>
      </w:r>
      <w:r w:rsidRPr="00DE7A42">
        <w:rPr>
          <w:lang w:val="fr-FR"/>
        </w:rPr>
        <w:t>homme (</w:t>
      </w:r>
      <w:r w:rsidR="00B60430" w:rsidRPr="00DE7A42">
        <w:rPr>
          <w:lang w:val="fr-FR"/>
        </w:rPr>
        <w:t>première section</w:t>
      </w:r>
      <w:r w:rsidRPr="00DE7A42">
        <w:rPr>
          <w:lang w:val="fr-FR"/>
        </w:rPr>
        <w:t xml:space="preserve">), siégeant en </w:t>
      </w:r>
      <w:r w:rsidR="00B60430" w:rsidRPr="00DE7A42">
        <w:rPr>
          <w:lang w:val="fr-FR"/>
        </w:rPr>
        <w:t>une chambre composée</w:t>
      </w:r>
      <w:r w:rsidRPr="00DE7A42">
        <w:rPr>
          <w:lang w:val="fr-FR"/>
        </w:rPr>
        <w:t xml:space="preserve"> de :</w:t>
      </w:r>
    </w:p>
    <w:p w:rsidR="00E77CB3" w:rsidRPr="00DE7A42" w:rsidRDefault="004831D1" w:rsidP="00DE7A42">
      <w:pPr>
        <w:pStyle w:val="ECHRDecisionBody"/>
        <w:rPr>
          <w:lang w:val="fr-FR"/>
        </w:rPr>
      </w:pPr>
      <w:r w:rsidRPr="00DE7A42">
        <w:rPr>
          <w:lang w:val="fr-FR"/>
        </w:rPr>
        <w:tab/>
        <w:t>Mirjana Lazarova Trajkovska,</w:t>
      </w:r>
      <w:r w:rsidRPr="00DE7A42">
        <w:rPr>
          <w:i/>
          <w:lang w:val="fr-FR"/>
        </w:rPr>
        <w:t xml:space="preserve"> présidente,</w:t>
      </w:r>
      <w:r w:rsidRPr="00DE7A42">
        <w:rPr>
          <w:i/>
          <w:lang w:val="fr-FR"/>
        </w:rPr>
        <w:br/>
      </w:r>
      <w:r w:rsidRPr="00DE7A42">
        <w:rPr>
          <w:lang w:val="fr-FR"/>
        </w:rPr>
        <w:tab/>
        <w:t>Kristina Pardalos,</w:t>
      </w:r>
      <w:r w:rsidRPr="00DE7A42">
        <w:rPr>
          <w:i/>
          <w:lang w:val="fr-FR"/>
        </w:rPr>
        <w:br/>
      </w:r>
      <w:r w:rsidRPr="00DE7A42">
        <w:rPr>
          <w:lang w:val="fr-FR"/>
        </w:rPr>
        <w:tab/>
        <w:t>Linos-Alexandre Sicilianos,</w:t>
      </w:r>
      <w:r w:rsidRPr="00DE7A42">
        <w:rPr>
          <w:i/>
          <w:lang w:val="fr-FR"/>
        </w:rPr>
        <w:br/>
      </w:r>
      <w:r w:rsidRPr="00DE7A42">
        <w:rPr>
          <w:lang w:val="fr-FR"/>
        </w:rPr>
        <w:tab/>
        <w:t>Paul Mahoney,</w:t>
      </w:r>
      <w:r w:rsidRPr="00DE7A42">
        <w:rPr>
          <w:i/>
          <w:lang w:val="fr-FR"/>
        </w:rPr>
        <w:br/>
      </w:r>
      <w:r w:rsidRPr="00DE7A42">
        <w:rPr>
          <w:lang w:val="fr-FR"/>
        </w:rPr>
        <w:tab/>
        <w:t>Aleš Pejchal,</w:t>
      </w:r>
      <w:r w:rsidRPr="00DE7A42">
        <w:rPr>
          <w:i/>
          <w:lang w:val="fr-FR"/>
        </w:rPr>
        <w:br/>
      </w:r>
      <w:r w:rsidRPr="00DE7A42">
        <w:rPr>
          <w:lang w:val="fr-FR"/>
        </w:rPr>
        <w:tab/>
        <w:t>Robert Spano,</w:t>
      </w:r>
      <w:r w:rsidRPr="00DE7A42">
        <w:rPr>
          <w:i/>
          <w:lang w:val="fr-FR"/>
        </w:rPr>
        <w:br/>
      </w:r>
      <w:r w:rsidRPr="00DE7A42">
        <w:rPr>
          <w:lang w:val="fr-FR"/>
        </w:rPr>
        <w:tab/>
        <w:t>Armen Harutyunyan,</w:t>
      </w:r>
      <w:r w:rsidRPr="00DE7A42">
        <w:rPr>
          <w:i/>
          <w:lang w:val="fr-FR"/>
        </w:rPr>
        <w:t xml:space="preserve"> juges,</w:t>
      </w:r>
      <w:r w:rsidR="00E77CB3" w:rsidRPr="00DE7A42">
        <w:rPr>
          <w:lang w:val="fr-FR"/>
        </w:rPr>
        <w:br/>
        <w:t xml:space="preserve">et de </w:t>
      </w:r>
      <w:r w:rsidR="005C07B3" w:rsidRPr="00DE7A42">
        <w:rPr>
          <w:lang w:val="fr-FR"/>
        </w:rPr>
        <w:t>Abel Campos</w:t>
      </w:r>
      <w:r w:rsidR="00E77CB3" w:rsidRPr="00DE7A42">
        <w:rPr>
          <w:lang w:val="fr-FR"/>
        </w:rPr>
        <w:t xml:space="preserve">, </w:t>
      </w:r>
      <w:r w:rsidR="00B60430" w:rsidRPr="00DE7A42">
        <w:rPr>
          <w:i/>
          <w:lang w:val="fr-FR"/>
        </w:rPr>
        <w:t>greffier</w:t>
      </w:r>
      <w:r w:rsidR="00B60430" w:rsidRPr="00DE7A42">
        <w:rPr>
          <w:iCs/>
          <w:lang w:val="fr-FR"/>
        </w:rPr>
        <w:t xml:space="preserve"> </w:t>
      </w:r>
      <w:r w:rsidR="00B60430" w:rsidRPr="00DE7A42">
        <w:rPr>
          <w:i/>
          <w:iCs/>
          <w:lang w:val="fr-FR"/>
        </w:rPr>
        <w:t>d</w:t>
      </w:r>
      <w:r w:rsidR="00B60430" w:rsidRPr="00DE7A42">
        <w:rPr>
          <w:i/>
          <w:lang w:val="fr-FR"/>
        </w:rPr>
        <w:t>e section</w:t>
      </w:r>
      <w:r w:rsidR="00E77CB3" w:rsidRPr="00DE7A42">
        <w:rPr>
          <w:lang w:val="fr-FR"/>
        </w:rPr>
        <w:t>,</w:t>
      </w:r>
    </w:p>
    <w:p w:rsidR="00E77CB3" w:rsidRPr="00DE7A42" w:rsidRDefault="00E77CB3" w:rsidP="00DE7A42">
      <w:pPr>
        <w:pStyle w:val="ECHRPara"/>
        <w:rPr>
          <w:lang w:val="fr-FR"/>
        </w:rPr>
      </w:pPr>
      <w:r w:rsidRPr="00DE7A42">
        <w:rPr>
          <w:lang w:val="fr-FR"/>
        </w:rPr>
        <w:t xml:space="preserve">Après en avoir délibéré en chambre du conseil le </w:t>
      </w:r>
      <w:r w:rsidR="004831D1" w:rsidRPr="00DE7A42">
        <w:rPr>
          <w:lang w:val="fr-FR"/>
        </w:rPr>
        <w:t>24 mai 2016</w:t>
      </w:r>
      <w:r w:rsidRPr="00DE7A42">
        <w:rPr>
          <w:lang w:val="fr-FR"/>
        </w:rPr>
        <w:t>,</w:t>
      </w:r>
    </w:p>
    <w:p w:rsidR="00E77CB3" w:rsidRPr="00DE7A42" w:rsidRDefault="00E77CB3" w:rsidP="00DE7A42">
      <w:pPr>
        <w:pStyle w:val="ECHRPara"/>
        <w:rPr>
          <w:lang w:val="fr-FR"/>
        </w:rPr>
      </w:pPr>
      <w:r w:rsidRPr="00DE7A42">
        <w:rPr>
          <w:lang w:val="fr-FR"/>
        </w:rPr>
        <w:t>Rend l</w:t>
      </w:r>
      <w:r w:rsidR="00DE7A42" w:rsidRPr="00DE7A42">
        <w:rPr>
          <w:lang w:val="fr-FR"/>
        </w:rPr>
        <w:t>’</w:t>
      </w:r>
      <w:r w:rsidRPr="00DE7A42">
        <w:rPr>
          <w:lang w:val="fr-FR"/>
        </w:rPr>
        <w:t>arrêt que voici, adopté à cette date :</w:t>
      </w:r>
    </w:p>
    <w:p w:rsidR="00E77CB3" w:rsidRPr="00DE7A42" w:rsidRDefault="00E77CB3" w:rsidP="00DE7A42">
      <w:pPr>
        <w:pStyle w:val="ECHRTitle1"/>
        <w:rPr>
          <w:lang w:val="fr-FR"/>
        </w:rPr>
      </w:pPr>
      <w:r w:rsidRPr="00DE7A42">
        <w:rPr>
          <w:lang w:val="fr-FR"/>
        </w:rPr>
        <w:t>PROCÉDURE</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w:t>
      </w:r>
      <w:r w:rsidRPr="00DE7A42">
        <w:rPr>
          <w:lang w:val="fr-FR"/>
        </w:rPr>
        <w:fldChar w:fldCharType="end"/>
      </w:r>
      <w:r w:rsidR="00E77CB3" w:rsidRPr="00DE7A42">
        <w:rPr>
          <w:lang w:val="fr-FR"/>
        </w:rPr>
        <w:t>.  À l</w:t>
      </w:r>
      <w:r w:rsidR="00DE7A42" w:rsidRPr="00DE7A42">
        <w:rPr>
          <w:lang w:val="fr-FR"/>
        </w:rPr>
        <w:t>’</w:t>
      </w:r>
      <w:r w:rsidR="00E77CB3" w:rsidRPr="00DE7A42">
        <w:rPr>
          <w:lang w:val="fr-FR"/>
        </w:rPr>
        <w:t>origine de l</w:t>
      </w:r>
      <w:r w:rsidR="00DE7A42" w:rsidRPr="00DE7A42">
        <w:rPr>
          <w:lang w:val="fr-FR"/>
        </w:rPr>
        <w:t>’</w:t>
      </w:r>
      <w:r w:rsidR="00E77CB3" w:rsidRPr="00DE7A42">
        <w:rPr>
          <w:lang w:val="fr-FR"/>
        </w:rPr>
        <w:t xml:space="preserve">affaire </w:t>
      </w:r>
      <w:r w:rsidRPr="00DE7A42">
        <w:rPr>
          <w:lang w:val="fr-FR"/>
        </w:rPr>
        <w:t>se trouve une requête (n</w:t>
      </w:r>
      <w:r w:rsidR="004831D1" w:rsidRPr="00DE7A42">
        <w:rPr>
          <w:vertAlign w:val="superscript"/>
          <w:lang w:val="fr-FR"/>
        </w:rPr>
        <w:t>o</w:t>
      </w:r>
      <w:r w:rsidRPr="00DE7A42">
        <w:rPr>
          <w:lang w:val="fr-FR"/>
        </w:rPr>
        <w:t xml:space="preserve"> 74758/11) dirigée</w:t>
      </w:r>
      <w:r w:rsidR="00E77CB3" w:rsidRPr="00DE7A42">
        <w:rPr>
          <w:lang w:val="fr-FR"/>
        </w:rPr>
        <w:t xml:space="preserve"> contre </w:t>
      </w:r>
      <w:r w:rsidRPr="00DE7A42">
        <w:rPr>
          <w:lang w:val="fr-FR"/>
        </w:rPr>
        <w:t>la République hellénique</w:t>
      </w:r>
      <w:r w:rsidR="00E77CB3" w:rsidRPr="00DE7A42">
        <w:rPr>
          <w:lang w:val="fr-FR"/>
        </w:rPr>
        <w:t xml:space="preserve"> et dont </w:t>
      </w:r>
      <w:r w:rsidRPr="00DE7A42">
        <w:rPr>
          <w:lang w:val="fr-FR"/>
        </w:rPr>
        <w:t>un ressortissant de cet État, M.</w:t>
      </w:r>
      <w:r w:rsidR="00161B4F" w:rsidRPr="00DE7A42">
        <w:rPr>
          <w:lang w:val="fr-FR"/>
        </w:rPr>
        <w:t> </w:t>
      </w:r>
      <w:r w:rsidRPr="00DE7A42">
        <w:rPr>
          <w:lang w:val="fr-FR"/>
        </w:rPr>
        <w:t>Sotiris Fourkiotis (« le requérant »), a saisi la Cour le 14 novembre 2011</w:t>
      </w:r>
      <w:r w:rsidR="00E77CB3" w:rsidRPr="00DE7A42">
        <w:rPr>
          <w:lang w:val="fr-FR"/>
        </w:rPr>
        <w:t xml:space="preserve"> en vertu de </w:t>
      </w:r>
      <w:r w:rsidRPr="00DE7A42">
        <w:rPr>
          <w:lang w:val="fr-FR"/>
        </w:rPr>
        <w:t>l</w:t>
      </w:r>
      <w:r w:rsidR="00DE7A42" w:rsidRPr="00DE7A42">
        <w:rPr>
          <w:lang w:val="fr-FR"/>
        </w:rPr>
        <w:t>’</w:t>
      </w:r>
      <w:r w:rsidRPr="00DE7A42">
        <w:rPr>
          <w:lang w:val="fr-FR"/>
        </w:rPr>
        <w:t>article 34</w:t>
      </w:r>
      <w:r w:rsidR="00E77CB3" w:rsidRPr="00DE7A42">
        <w:rPr>
          <w:lang w:val="fr-FR"/>
        </w:rPr>
        <w:t xml:space="preserve"> de la Convention de sauvegarde des droits de l</w:t>
      </w:r>
      <w:r w:rsidR="00DE7A42" w:rsidRPr="00DE7A42">
        <w:rPr>
          <w:lang w:val="fr-FR"/>
        </w:rPr>
        <w:t>’</w:t>
      </w:r>
      <w:r w:rsidR="00E77CB3" w:rsidRPr="00DE7A42">
        <w:rPr>
          <w:lang w:val="fr-FR"/>
        </w:rPr>
        <w:t>homme et des libertés fondamentales (« la Convention »).</w:t>
      </w:r>
    </w:p>
    <w:p w:rsidR="00DE7A42"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w:t>
      </w:r>
      <w:r w:rsidRPr="00DE7A42">
        <w:rPr>
          <w:lang w:val="fr-FR"/>
        </w:rPr>
        <w:fldChar w:fldCharType="end"/>
      </w:r>
      <w:r w:rsidR="00E77CB3" w:rsidRPr="00DE7A42">
        <w:rPr>
          <w:lang w:val="fr-FR"/>
        </w:rPr>
        <w:t>.  </w:t>
      </w:r>
      <w:r w:rsidRPr="00DE7A42">
        <w:rPr>
          <w:lang w:val="fr-FR"/>
        </w:rPr>
        <w:t>Le requérant a été représenté par M</w:t>
      </w:r>
      <w:r w:rsidRPr="00DE7A42">
        <w:rPr>
          <w:vertAlign w:val="superscript"/>
          <w:lang w:val="fr-FR"/>
        </w:rPr>
        <w:t>e</w:t>
      </w:r>
      <w:r w:rsidRPr="00DE7A42">
        <w:rPr>
          <w:lang w:val="fr-FR"/>
        </w:rPr>
        <w:t xml:space="preserve"> K. Demertzis, avocat à Iraklio. </w:t>
      </w:r>
      <w:r w:rsidR="00E77CB3" w:rsidRPr="00DE7A42">
        <w:rPr>
          <w:lang w:val="fr-FR"/>
        </w:rPr>
        <w:t xml:space="preserve">Le gouvernement </w:t>
      </w:r>
      <w:r w:rsidRPr="00DE7A42">
        <w:rPr>
          <w:lang w:val="fr-FR"/>
        </w:rPr>
        <w:t>grec</w:t>
      </w:r>
      <w:r w:rsidR="00E77CB3" w:rsidRPr="00DE7A42">
        <w:rPr>
          <w:lang w:val="fr-FR"/>
        </w:rPr>
        <w:t xml:space="preserve"> (« le Gouvernement ») a été représenté par</w:t>
      </w:r>
      <w:r w:rsidR="00161B4F" w:rsidRPr="00DE7A42">
        <w:rPr>
          <w:lang w:val="fr-FR"/>
        </w:rPr>
        <w:t xml:space="preserve"> les déléguées de</w:t>
      </w:r>
      <w:r w:rsidR="00E77CB3" w:rsidRPr="00DE7A42">
        <w:rPr>
          <w:lang w:val="fr-FR"/>
        </w:rPr>
        <w:t xml:space="preserve"> son agent, </w:t>
      </w:r>
      <w:r w:rsidR="00161B4F" w:rsidRPr="00DE7A42">
        <w:rPr>
          <w:lang w:val="fr-FR"/>
        </w:rPr>
        <w:t>M</w:t>
      </w:r>
      <w:r w:rsidR="00161B4F" w:rsidRPr="00DE7A42">
        <w:rPr>
          <w:vertAlign w:val="superscript"/>
          <w:lang w:val="fr-FR"/>
        </w:rPr>
        <w:t>me</w:t>
      </w:r>
      <w:r w:rsidR="00161B4F" w:rsidRPr="00DE7A42">
        <w:rPr>
          <w:lang w:val="fr-FR"/>
        </w:rPr>
        <w:t xml:space="preserve"> K. Nassopoulou</w:t>
      </w:r>
      <w:r w:rsidR="00E77CB3" w:rsidRPr="00DE7A42">
        <w:rPr>
          <w:lang w:val="fr-FR"/>
        </w:rPr>
        <w:t xml:space="preserve">, </w:t>
      </w:r>
      <w:r w:rsidR="00161B4F" w:rsidRPr="00DE7A42">
        <w:rPr>
          <w:lang w:val="fr-FR"/>
        </w:rPr>
        <w:t>assesseure au Conseil juridique de l</w:t>
      </w:r>
      <w:r w:rsidR="00DE7A42" w:rsidRPr="00DE7A42">
        <w:rPr>
          <w:lang w:val="fr-FR"/>
        </w:rPr>
        <w:t>’</w:t>
      </w:r>
      <w:r w:rsidR="00161B4F" w:rsidRPr="00DE7A42">
        <w:rPr>
          <w:lang w:val="fr-FR"/>
        </w:rPr>
        <w:t>Etat, et M</w:t>
      </w:r>
      <w:r w:rsidR="00161B4F" w:rsidRPr="00DE7A42">
        <w:rPr>
          <w:vertAlign w:val="superscript"/>
          <w:lang w:val="fr-FR"/>
        </w:rPr>
        <w:t>me</w:t>
      </w:r>
      <w:r w:rsidR="00161B4F" w:rsidRPr="00DE7A42">
        <w:rPr>
          <w:lang w:val="fr-FR"/>
        </w:rPr>
        <w:t xml:space="preserve"> S. Lekkou, auditrice au Conseil juridique de l</w:t>
      </w:r>
      <w:r w:rsidR="00DE7A42" w:rsidRPr="00DE7A42">
        <w:rPr>
          <w:lang w:val="fr-FR"/>
        </w:rPr>
        <w:t>’</w:t>
      </w:r>
      <w:r w:rsidR="00161B4F" w:rsidRPr="00DE7A42">
        <w:rPr>
          <w:lang w:val="fr-FR"/>
        </w:rPr>
        <w:t>Etat.</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w:t>
      </w:r>
      <w:r w:rsidRPr="00DE7A42">
        <w:rPr>
          <w:lang w:val="fr-FR"/>
        </w:rPr>
        <w:fldChar w:fldCharType="end"/>
      </w:r>
      <w:r w:rsidRPr="00DE7A42">
        <w:rPr>
          <w:lang w:val="fr-FR"/>
        </w:rPr>
        <w:t>.  Le requérant allègue en particulier</w:t>
      </w:r>
      <w:r w:rsidR="00161B4F" w:rsidRPr="00DE7A42">
        <w:rPr>
          <w:lang w:val="fr-FR"/>
        </w:rPr>
        <w:t xml:space="preserve"> une violation de l</w:t>
      </w:r>
      <w:r w:rsidR="00DE7A42" w:rsidRPr="00DE7A42">
        <w:rPr>
          <w:lang w:val="fr-FR"/>
        </w:rPr>
        <w:t>’</w:t>
      </w:r>
      <w:r w:rsidR="00161B4F" w:rsidRPr="00DE7A42">
        <w:rPr>
          <w:lang w:val="fr-FR"/>
        </w:rPr>
        <w:t>article 8 en raison de l</w:t>
      </w:r>
      <w:r w:rsidR="00DE7A42" w:rsidRPr="00DE7A42">
        <w:rPr>
          <w:lang w:val="fr-FR"/>
        </w:rPr>
        <w:t>’</w:t>
      </w:r>
      <w:r w:rsidR="00161B4F" w:rsidRPr="00DE7A42">
        <w:rPr>
          <w:lang w:val="fr-FR"/>
        </w:rPr>
        <w:t xml:space="preserve">inefficacité des procédures </w:t>
      </w:r>
      <w:r w:rsidR="00BC697E" w:rsidRPr="00DE7A42">
        <w:rPr>
          <w:lang w:val="fr-FR"/>
        </w:rPr>
        <w:t xml:space="preserve">nationales </w:t>
      </w:r>
      <w:r w:rsidR="00161B4F" w:rsidRPr="00DE7A42">
        <w:rPr>
          <w:lang w:val="fr-FR"/>
        </w:rPr>
        <w:t>pour faire appliquer son droit de visite et avoir des contacts avec ses enfants.</w:t>
      </w:r>
    </w:p>
    <w:p w:rsidR="00AC77CB" w:rsidRPr="00DE7A42" w:rsidRDefault="00AC77CB"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w:t>
      </w:r>
      <w:r w:rsidRPr="00DE7A42">
        <w:rPr>
          <w:lang w:val="fr-FR"/>
        </w:rPr>
        <w:fldChar w:fldCharType="end"/>
      </w:r>
      <w:r w:rsidRPr="00DE7A42">
        <w:rPr>
          <w:lang w:val="fr-FR"/>
        </w:rPr>
        <w:t>.  La présidente de la Section a accédé à la demande du Gouvernement de traiter de manière confidentielle certaines annexes aux observations de celui-ci car elles contenaient des informations confidentielles et des données à caractère personnel relatives à des mineurs (article 33 § 2 du règlement de la Cour).</w:t>
      </w:r>
    </w:p>
    <w:p w:rsidR="00E77CB3" w:rsidRPr="00DE7A42" w:rsidRDefault="00B60430" w:rsidP="00DE7A42">
      <w:pPr>
        <w:pStyle w:val="ECHRPara"/>
        <w:rPr>
          <w:szCs w:val="24"/>
          <w:lang w:val="fr-FR" w:eastAsia="en-GB"/>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w:t>
      </w:r>
      <w:r w:rsidRPr="00DE7A42">
        <w:rPr>
          <w:lang w:val="fr-FR"/>
        </w:rPr>
        <w:fldChar w:fldCharType="end"/>
      </w:r>
      <w:r w:rsidR="00E77CB3" w:rsidRPr="00DE7A42">
        <w:rPr>
          <w:lang w:val="fr-FR"/>
        </w:rPr>
        <w:t>.  </w:t>
      </w:r>
      <w:r w:rsidRPr="00DE7A42">
        <w:rPr>
          <w:lang w:val="fr-FR"/>
        </w:rPr>
        <w:t xml:space="preserve">Le </w:t>
      </w:r>
      <w:r w:rsidRPr="00DE7A42">
        <w:rPr>
          <w:szCs w:val="24"/>
          <w:lang w:val="fr-FR"/>
        </w:rPr>
        <w:t>16 avril 2015</w:t>
      </w:r>
      <w:r w:rsidR="00E77CB3" w:rsidRPr="00DE7A42">
        <w:rPr>
          <w:lang w:val="fr-FR"/>
        </w:rPr>
        <w:t xml:space="preserve">, </w:t>
      </w:r>
      <w:r w:rsidRPr="00DE7A42">
        <w:rPr>
          <w:lang w:val="fr-FR"/>
        </w:rPr>
        <w:t>la requête a été communiquée au Gouvernement</w:t>
      </w:r>
      <w:r w:rsidR="00C1262B" w:rsidRPr="00DE7A42">
        <w:rPr>
          <w:lang w:val="fr-FR"/>
        </w:rPr>
        <w:t>.</w:t>
      </w:r>
    </w:p>
    <w:p w:rsidR="00E77CB3" w:rsidRPr="00DE7A42" w:rsidRDefault="00E77CB3" w:rsidP="00DE7A42">
      <w:pPr>
        <w:pStyle w:val="ECHRTitle1"/>
        <w:tabs>
          <w:tab w:val="left" w:pos="5387"/>
        </w:tabs>
        <w:rPr>
          <w:lang w:val="fr-FR"/>
        </w:rPr>
      </w:pPr>
      <w:r w:rsidRPr="00DE7A42">
        <w:rPr>
          <w:lang w:val="fr-FR"/>
        </w:rPr>
        <w:t>EN FAIT</w:t>
      </w:r>
    </w:p>
    <w:p w:rsidR="00E77CB3" w:rsidRPr="00DE7A42" w:rsidRDefault="00E77CB3" w:rsidP="00DE7A42">
      <w:pPr>
        <w:pStyle w:val="ECHRHeading1"/>
        <w:rPr>
          <w:lang w:val="fr-FR"/>
        </w:rPr>
      </w:pPr>
      <w:r w:rsidRPr="00DE7A42">
        <w:rPr>
          <w:lang w:val="fr-FR"/>
        </w:rPr>
        <w:t>I.  LES CIRCONSTANCES DE L</w:t>
      </w:r>
      <w:r w:rsidR="00DE7A42" w:rsidRPr="00DE7A42">
        <w:rPr>
          <w:lang w:val="fr-FR"/>
        </w:rPr>
        <w:t>’</w:t>
      </w:r>
      <w:r w:rsidRPr="00DE7A42">
        <w:rPr>
          <w:lang w:val="fr-FR"/>
        </w:rPr>
        <w:t>ESPÈCE</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w:t>
      </w:r>
      <w:r w:rsidRPr="00DE7A42">
        <w:rPr>
          <w:lang w:val="fr-FR"/>
        </w:rPr>
        <w:fldChar w:fldCharType="end"/>
      </w:r>
      <w:r w:rsidR="00E77CB3" w:rsidRPr="00DE7A42">
        <w:rPr>
          <w:lang w:val="fr-FR"/>
        </w:rPr>
        <w:t>.  </w:t>
      </w:r>
      <w:r w:rsidRPr="00DE7A42">
        <w:rPr>
          <w:lang w:val="fr-FR"/>
        </w:rPr>
        <w:t xml:space="preserve">Le requérant est né en 1970 et réside </w:t>
      </w:r>
      <w:r w:rsidR="00161B4F" w:rsidRPr="00DE7A42">
        <w:rPr>
          <w:lang w:val="fr-FR"/>
        </w:rPr>
        <w:t xml:space="preserve">au </w:t>
      </w:r>
      <w:r w:rsidRPr="00DE7A42">
        <w:rPr>
          <w:lang w:val="fr-FR"/>
        </w:rPr>
        <w:t>Pirée</w:t>
      </w:r>
      <w:r w:rsidR="00E77CB3" w:rsidRPr="00DE7A42">
        <w:rPr>
          <w:lang w:val="fr-FR"/>
        </w:rPr>
        <w:t>.</w:t>
      </w:r>
    </w:p>
    <w:p w:rsidR="00FC2435" w:rsidRPr="00DE7A42" w:rsidRDefault="00FC2435" w:rsidP="00DE7A42">
      <w:pPr>
        <w:pStyle w:val="ECHRHeading2"/>
        <w:rPr>
          <w:lang w:val="fr-FR"/>
        </w:rPr>
      </w:pPr>
      <w:r w:rsidRPr="00DE7A42">
        <w:rPr>
          <w:lang w:val="fr-FR"/>
        </w:rPr>
        <w:t>A.  La genèse de l</w:t>
      </w:r>
      <w:r w:rsidR="00DE7A42" w:rsidRPr="00DE7A42">
        <w:rPr>
          <w:lang w:val="fr-FR"/>
        </w:rPr>
        <w:t>’</w:t>
      </w:r>
      <w:r w:rsidRPr="00DE7A42">
        <w:rPr>
          <w:lang w:val="fr-FR"/>
        </w:rPr>
        <w:t>affaire</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w:t>
      </w:r>
      <w:r w:rsidRPr="00DE7A42">
        <w:rPr>
          <w:lang w:val="fr-FR"/>
        </w:rPr>
        <w:fldChar w:fldCharType="end"/>
      </w:r>
      <w:r w:rsidRPr="00DE7A42">
        <w:rPr>
          <w:lang w:val="fr-FR"/>
        </w:rPr>
        <w:t xml:space="preserve">.  Le 22 juillet 2001, le requérant </w:t>
      </w:r>
      <w:r w:rsidR="001725A9" w:rsidRPr="00DE7A42">
        <w:rPr>
          <w:lang w:val="fr-FR"/>
        </w:rPr>
        <w:t>épousa</w:t>
      </w:r>
      <w:r w:rsidRPr="00DE7A42">
        <w:rPr>
          <w:lang w:val="fr-FR"/>
        </w:rPr>
        <w:t xml:space="preserve"> M</w:t>
      </w:r>
      <w:r w:rsidRPr="00DE7A42">
        <w:rPr>
          <w:vertAlign w:val="superscript"/>
          <w:lang w:val="fr-FR"/>
        </w:rPr>
        <w:t>me</w:t>
      </w:r>
      <w:r w:rsidRPr="00DE7A42">
        <w:rPr>
          <w:lang w:val="fr-FR"/>
        </w:rPr>
        <w:t xml:space="preserve"> I.P. Deux enfants, des jumeaux, As et Ai, naquirent de cette union le 10 décembre 2006. Toutefois, après la naissance, les relations entre les époux se détériorèrent en raison, selon le requérant, de l</w:t>
      </w:r>
      <w:r w:rsidR="00DE7A42" w:rsidRPr="00DE7A42">
        <w:rPr>
          <w:lang w:val="fr-FR"/>
        </w:rPr>
        <w:t>’</w:t>
      </w:r>
      <w:r w:rsidR="000D7F62" w:rsidRPr="00DE7A42">
        <w:rPr>
          <w:lang w:val="fr-FR"/>
        </w:rPr>
        <w:t>appartenance</w:t>
      </w:r>
      <w:r w:rsidRPr="00DE7A42">
        <w:rPr>
          <w:lang w:val="fr-FR"/>
        </w:rPr>
        <w:t xml:space="preserve"> de son épouse à une secte religieuse et des relations étroites qu</w:t>
      </w:r>
      <w:r w:rsidR="00DE7A42" w:rsidRPr="00DE7A42">
        <w:rPr>
          <w:lang w:val="fr-FR"/>
        </w:rPr>
        <w:t>’</w:t>
      </w:r>
      <w:r w:rsidRPr="00DE7A42">
        <w:rPr>
          <w:lang w:val="fr-FR"/>
        </w:rPr>
        <w:t xml:space="preserve">elle entretenait avec </w:t>
      </w:r>
      <w:r w:rsidR="000D7F62" w:rsidRPr="00DE7A42">
        <w:rPr>
          <w:lang w:val="fr-FR"/>
        </w:rPr>
        <w:t>l</w:t>
      </w:r>
      <w:r w:rsidR="00DE7A42" w:rsidRPr="00DE7A42">
        <w:rPr>
          <w:lang w:val="fr-FR"/>
        </w:rPr>
        <w:t>’</w:t>
      </w:r>
      <w:r w:rsidRPr="00DE7A42">
        <w:rPr>
          <w:lang w:val="fr-FR"/>
        </w:rPr>
        <w:t>un des cadres de la secte, N.E.</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w:t>
      </w:r>
      <w:r w:rsidRPr="00DE7A42">
        <w:rPr>
          <w:lang w:val="fr-FR"/>
        </w:rPr>
        <w:fldChar w:fldCharType="end"/>
      </w:r>
      <w:r w:rsidRPr="00DE7A42">
        <w:rPr>
          <w:lang w:val="fr-FR"/>
        </w:rPr>
        <w:t>.  Le 1</w:t>
      </w:r>
      <w:r w:rsidRPr="00DE7A42">
        <w:rPr>
          <w:vertAlign w:val="superscript"/>
          <w:lang w:val="fr-FR"/>
        </w:rPr>
        <w:t>er</w:t>
      </w:r>
      <w:r w:rsidRPr="00DE7A42">
        <w:rPr>
          <w:lang w:val="fr-FR"/>
        </w:rPr>
        <w:t xml:space="preserve"> juillet 2007, lors du baptême d</w:t>
      </w:r>
      <w:r w:rsidR="00DE7A42" w:rsidRPr="00DE7A42">
        <w:rPr>
          <w:lang w:val="fr-FR"/>
        </w:rPr>
        <w:t>’</w:t>
      </w:r>
      <w:r w:rsidRPr="00DE7A42">
        <w:rPr>
          <w:lang w:val="fr-FR"/>
        </w:rPr>
        <w:t>As, l</w:t>
      </w:r>
      <w:r w:rsidR="00DE7A42" w:rsidRPr="00DE7A42">
        <w:rPr>
          <w:lang w:val="fr-FR"/>
        </w:rPr>
        <w:t>’</w:t>
      </w:r>
      <w:r w:rsidRPr="00DE7A42">
        <w:rPr>
          <w:lang w:val="fr-FR"/>
        </w:rPr>
        <w:t xml:space="preserve">épouse du requérant en consultation avec N.E. décida de donner à son fils un prénom supplémentaire, celui de G, prénom qui correspondait à celui du fondateur de la secte. Par la suite, elle interdit à tous les proches de la famille </w:t>
      </w:r>
      <w:r w:rsidR="00253500" w:rsidRPr="00DE7A42">
        <w:rPr>
          <w:lang w:val="fr-FR"/>
        </w:rPr>
        <w:t>d</w:t>
      </w:r>
      <w:r w:rsidR="00DE7A42" w:rsidRPr="00DE7A42">
        <w:rPr>
          <w:lang w:val="fr-FR"/>
        </w:rPr>
        <w:t>’</w:t>
      </w:r>
      <w:r w:rsidRPr="00DE7A42">
        <w:rPr>
          <w:lang w:val="fr-FR"/>
        </w:rPr>
        <w:t>utilis</w:t>
      </w:r>
      <w:r w:rsidR="00253500" w:rsidRPr="00DE7A42">
        <w:rPr>
          <w:lang w:val="fr-FR"/>
        </w:rPr>
        <w:t>er</w:t>
      </w:r>
      <w:r w:rsidRPr="00DE7A42">
        <w:rPr>
          <w:lang w:val="fr-FR"/>
        </w:rPr>
        <w:t xml:space="preserve"> </w:t>
      </w:r>
      <w:r w:rsidR="00253500" w:rsidRPr="00DE7A42">
        <w:rPr>
          <w:lang w:val="fr-FR"/>
        </w:rPr>
        <w:t>le</w:t>
      </w:r>
      <w:r w:rsidRPr="00DE7A42">
        <w:rPr>
          <w:lang w:val="fr-FR"/>
        </w:rPr>
        <w:t xml:space="preserve"> prénom As</w:t>
      </w:r>
      <w:r w:rsidR="00E65506" w:rsidRPr="00DE7A42">
        <w:rPr>
          <w:lang w:val="fr-FR"/>
        </w:rPr>
        <w:t>.</w:t>
      </w:r>
      <w:r w:rsidRPr="00DE7A42">
        <w:rPr>
          <w:lang w:val="fr-FR"/>
        </w:rPr>
        <w:t xml:space="preserve"> </w:t>
      </w:r>
      <w:r w:rsidR="00E65506" w:rsidRPr="00DE7A42">
        <w:rPr>
          <w:lang w:val="fr-FR"/>
        </w:rPr>
        <w:t>E</w:t>
      </w:r>
      <w:r w:rsidRPr="00DE7A42">
        <w:rPr>
          <w:lang w:val="fr-FR"/>
        </w:rPr>
        <w:t>n novembre 2009, avec l</w:t>
      </w:r>
      <w:r w:rsidR="00DE7A42" w:rsidRPr="00DE7A42">
        <w:rPr>
          <w:lang w:val="fr-FR"/>
        </w:rPr>
        <w:t>’</w:t>
      </w:r>
      <w:r w:rsidRPr="00DE7A42">
        <w:rPr>
          <w:lang w:val="fr-FR"/>
        </w:rPr>
        <w:t xml:space="preserve">aide de N.E. </w:t>
      </w:r>
      <w:r w:rsidR="00253500" w:rsidRPr="00DE7A42">
        <w:rPr>
          <w:lang w:val="fr-FR"/>
        </w:rPr>
        <w:t>elle</w:t>
      </w:r>
      <w:r w:rsidRPr="00DE7A42">
        <w:rPr>
          <w:lang w:val="fr-FR"/>
        </w:rPr>
        <w:t xml:space="preserve"> falsifia</w:t>
      </w:r>
      <w:r w:rsidR="00253500" w:rsidRPr="00DE7A42">
        <w:rPr>
          <w:lang w:val="fr-FR"/>
        </w:rPr>
        <w:t xml:space="preserve"> l</w:t>
      </w:r>
      <w:r w:rsidR="00DE7A42" w:rsidRPr="00DE7A42">
        <w:rPr>
          <w:lang w:val="fr-FR"/>
        </w:rPr>
        <w:t>’</w:t>
      </w:r>
      <w:r w:rsidR="00253500" w:rsidRPr="00DE7A42">
        <w:rPr>
          <w:lang w:val="fr-FR"/>
        </w:rPr>
        <w:t xml:space="preserve">acte de baptême et </w:t>
      </w:r>
      <w:r w:rsidRPr="00DE7A42">
        <w:rPr>
          <w:lang w:val="fr-FR"/>
        </w:rPr>
        <w:t xml:space="preserve">demanda au procureur compétent </w:t>
      </w:r>
      <w:r w:rsidR="00253500" w:rsidRPr="00DE7A42">
        <w:rPr>
          <w:lang w:val="fr-FR"/>
        </w:rPr>
        <w:t>la modification de</w:t>
      </w:r>
      <w:r w:rsidRPr="00DE7A42">
        <w:rPr>
          <w:lang w:val="fr-FR"/>
        </w:rPr>
        <w:t xml:space="preserve"> l</w:t>
      </w:r>
      <w:r w:rsidR="00DE7A42" w:rsidRPr="00DE7A42">
        <w:rPr>
          <w:lang w:val="fr-FR"/>
        </w:rPr>
        <w:t>’</w:t>
      </w:r>
      <w:r w:rsidRPr="00DE7A42">
        <w:rPr>
          <w:lang w:val="fr-FR"/>
        </w:rPr>
        <w:t>état civil d</w:t>
      </w:r>
      <w:r w:rsidR="00DE7A42" w:rsidRPr="00DE7A42">
        <w:rPr>
          <w:lang w:val="fr-FR"/>
        </w:rPr>
        <w:t>’</w:t>
      </w:r>
      <w:r w:rsidRPr="00DE7A42">
        <w:rPr>
          <w:lang w:val="fr-FR"/>
        </w:rPr>
        <w:t>As en l</w:t>
      </w:r>
      <w:r w:rsidR="00DE7A42" w:rsidRPr="00DE7A42">
        <w:rPr>
          <w:lang w:val="fr-FR"/>
        </w:rPr>
        <w:t>’</w:t>
      </w:r>
      <w:r w:rsidRPr="00DE7A42">
        <w:rPr>
          <w:lang w:val="fr-FR"/>
        </w:rPr>
        <w:t>inscrivant en tant que G</w:t>
      </w:r>
      <w:r w:rsidR="00E65506" w:rsidRPr="00DE7A42">
        <w:rPr>
          <w:lang w:val="fr-FR"/>
        </w:rPr>
        <w:t>.</w:t>
      </w:r>
      <w:r w:rsidRPr="00DE7A42">
        <w:rPr>
          <w:lang w:val="fr-FR"/>
        </w:rPr>
        <w:t xml:space="preserve">-As. Toutefois, </w:t>
      </w:r>
      <w:r w:rsidR="00253500" w:rsidRPr="00DE7A42">
        <w:rPr>
          <w:lang w:val="fr-FR"/>
        </w:rPr>
        <w:t xml:space="preserve">à la demande </w:t>
      </w:r>
      <w:r w:rsidRPr="00DE7A42">
        <w:rPr>
          <w:lang w:val="fr-FR"/>
        </w:rPr>
        <w:t>du requérant, le procureur, se rendant compte de la manœuvre, ordonna la modification du prénom de l</w:t>
      </w:r>
      <w:r w:rsidR="00DE7A42" w:rsidRPr="00DE7A42">
        <w:rPr>
          <w:lang w:val="fr-FR"/>
        </w:rPr>
        <w:t>’</w:t>
      </w:r>
      <w:r w:rsidRPr="00DE7A42">
        <w:rPr>
          <w:lang w:val="fr-FR"/>
        </w:rPr>
        <w:t>enfant en As.</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9</w:t>
      </w:r>
      <w:r w:rsidRPr="00DE7A42">
        <w:rPr>
          <w:lang w:val="fr-FR"/>
        </w:rPr>
        <w:fldChar w:fldCharType="end"/>
      </w:r>
      <w:r w:rsidRPr="00DE7A42">
        <w:rPr>
          <w:lang w:val="fr-FR"/>
        </w:rPr>
        <w:t>.  Les fréquentes querelles entre les époux conduisirent le requérant à quitter le domicile conjugal</w:t>
      </w:r>
      <w:r w:rsidR="00334FFC" w:rsidRPr="00DE7A42">
        <w:rPr>
          <w:lang w:val="fr-FR"/>
        </w:rPr>
        <w:t xml:space="preserve"> le 21 janvier 2010</w:t>
      </w:r>
      <w:r w:rsidRPr="00DE7A42">
        <w:rPr>
          <w:lang w:val="fr-FR"/>
        </w:rPr>
        <w:t>. Le requérant prétend qu</w:t>
      </w:r>
      <w:r w:rsidR="00DE7A42" w:rsidRPr="00DE7A42">
        <w:rPr>
          <w:lang w:val="fr-FR"/>
        </w:rPr>
        <w:t>’</w:t>
      </w:r>
      <w:r w:rsidRPr="00DE7A42">
        <w:rPr>
          <w:lang w:val="fr-FR"/>
        </w:rPr>
        <w:t>en raison de l</w:t>
      </w:r>
      <w:r w:rsidR="00DE7A42" w:rsidRPr="00DE7A42">
        <w:rPr>
          <w:lang w:val="fr-FR"/>
        </w:rPr>
        <w:t>’</w:t>
      </w:r>
      <w:r w:rsidRPr="00DE7A42">
        <w:rPr>
          <w:lang w:val="fr-FR"/>
        </w:rPr>
        <w:t>attitude de son épouse, il ne put</w:t>
      </w:r>
      <w:r w:rsidR="00CA1504" w:rsidRPr="00DE7A42">
        <w:rPr>
          <w:lang w:val="fr-FR"/>
        </w:rPr>
        <w:t xml:space="preserve"> pratiquement plus voir ses enfants.</w:t>
      </w:r>
    </w:p>
    <w:p w:rsidR="00DE7A42" w:rsidRPr="00DE7A42" w:rsidRDefault="00FC2435" w:rsidP="00DE7A42">
      <w:pPr>
        <w:pStyle w:val="ECHRHeading2"/>
        <w:rPr>
          <w:lang w:val="fr-FR"/>
        </w:rPr>
      </w:pPr>
      <w:r w:rsidRPr="00DE7A42">
        <w:rPr>
          <w:lang w:val="fr-FR"/>
        </w:rPr>
        <w:t xml:space="preserve">B.  Les procédures relatives </w:t>
      </w:r>
      <w:r w:rsidR="00705EEA" w:rsidRPr="00DE7A42">
        <w:rPr>
          <w:lang w:val="fr-FR"/>
        </w:rPr>
        <w:t xml:space="preserve">à la garde des enfants et </w:t>
      </w:r>
      <w:r w:rsidRPr="00DE7A42">
        <w:rPr>
          <w:lang w:val="fr-FR"/>
        </w:rPr>
        <w:t>au droit de visite du requérant</w:t>
      </w:r>
    </w:p>
    <w:p w:rsidR="004B1EC8"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10</w:t>
      </w:r>
      <w:r w:rsidRPr="00DE7A42">
        <w:rPr>
          <w:lang w:val="fr-FR"/>
        </w:rPr>
        <w:fldChar w:fldCharType="end"/>
      </w:r>
      <w:r w:rsidRPr="00DE7A42">
        <w:rPr>
          <w:lang w:val="fr-FR"/>
        </w:rPr>
        <w:t>.  </w:t>
      </w:r>
      <w:r w:rsidR="004B1EC8" w:rsidRPr="00DE7A42">
        <w:rPr>
          <w:lang w:val="fr-FR"/>
        </w:rPr>
        <w:t>Le 25 janvier 2010, I.P.</w:t>
      </w:r>
      <w:r w:rsidRPr="00DE7A42">
        <w:rPr>
          <w:lang w:val="fr-FR"/>
        </w:rPr>
        <w:t xml:space="preserve"> saisit le tribunal de première instance</w:t>
      </w:r>
      <w:r w:rsidR="00BB3BB3" w:rsidRPr="00DE7A42">
        <w:rPr>
          <w:lang w:val="fr-FR"/>
        </w:rPr>
        <w:t xml:space="preserve"> d</w:t>
      </w:r>
      <w:r w:rsidR="00DE7A42" w:rsidRPr="00DE7A42">
        <w:rPr>
          <w:lang w:val="fr-FR"/>
        </w:rPr>
        <w:t>’</w:t>
      </w:r>
      <w:r w:rsidR="00BB3BB3" w:rsidRPr="00DE7A42">
        <w:rPr>
          <w:lang w:val="fr-FR"/>
        </w:rPr>
        <w:t>Athènes</w:t>
      </w:r>
      <w:r w:rsidRPr="00DE7A42">
        <w:rPr>
          <w:lang w:val="fr-FR"/>
        </w:rPr>
        <w:t>, siégeant à juge unique, d</w:t>
      </w:r>
      <w:r w:rsidR="00DE7A42" w:rsidRPr="00DE7A42">
        <w:rPr>
          <w:lang w:val="fr-FR"/>
        </w:rPr>
        <w:t>’</w:t>
      </w:r>
      <w:r w:rsidRPr="00DE7A42">
        <w:rPr>
          <w:lang w:val="fr-FR"/>
        </w:rPr>
        <w:t xml:space="preserve">une demande de mesures provisoires. </w:t>
      </w:r>
      <w:r w:rsidR="004B1EC8" w:rsidRPr="00DE7A42">
        <w:rPr>
          <w:lang w:val="fr-FR"/>
        </w:rPr>
        <w:t>Elle tendait à se faire attribuer la garde des enfants, à obtenir que le requérant quitte le domicile conjugal, que les meubles du domicile lui soient cédés, et à se voir accorder une pension alimentaire.</w:t>
      </w:r>
    </w:p>
    <w:p w:rsidR="00FC2435" w:rsidRPr="00DE7A42" w:rsidRDefault="007931EB"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11</w:t>
      </w:r>
      <w:r w:rsidRPr="00DE7A42">
        <w:rPr>
          <w:lang w:val="fr-FR"/>
        </w:rPr>
        <w:fldChar w:fldCharType="end"/>
      </w:r>
      <w:r w:rsidRPr="00DE7A42">
        <w:rPr>
          <w:lang w:val="fr-FR"/>
        </w:rPr>
        <w:t>.  </w:t>
      </w:r>
      <w:r w:rsidR="0062594E" w:rsidRPr="00DE7A42">
        <w:rPr>
          <w:lang w:val="fr-FR"/>
        </w:rPr>
        <w:t>Par une décision n</w:t>
      </w:r>
      <w:r w:rsidR="004831D1" w:rsidRPr="00DE7A42">
        <w:rPr>
          <w:vertAlign w:val="superscript"/>
          <w:lang w:val="fr-FR"/>
        </w:rPr>
        <w:t>o</w:t>
      </w:r>
      <w:r w:rsidR="0062594E" w:rsidRPr="00DE7A42">
        <w:rPr>
          <w:lang w:val="fr-FR"/>
        </w:rPr>
        <w:t> </w:t>
      </w:r>
      <w:r w:rsidR="00FC2435" w:rsidRPr="00DE7A42">
        <w:rPr>
          <w:lang w:val="fr-FR"/>
        </w:rPr>
        <w:t xml:space="preserve">4823/2010 du 9 juin 2010, le tribunal </w:t>
      </w:r>
      <w:r w:rsidR="00996036" w:rsidRPr="00DE7A42">
        <w:rPr>
          <w:lang w:val="fr-FR"/>
        </w:rPr>
        <w:t xml:space="preserve">ordonna que le requérant quitte le domicile conjugal et verse une pension alimentaire pour I.P. et les enfants. En outre, il </w:t>
      </w:r>
      <w:r w:rsidR="00FC2435" w:rsidRPr="00DE7A42">
        <w:rPr>
          <w:lang w:val="fr-FR"/>
        </w:rPr>
        <w:t>fixa ainsi les contacts du requérant avec ses enfants : les m</w:t>
      </w:r>
      <w:r w:rsidR="007B3CE3" w:rsidRPr="00DE7A42">
        <w:rPr>
          <w:lang w:val="fr-FR"/>
        </w:rPr>
        <w:t>ardis et jeudis, au domicile d</w:t>
      </w:r>
      <w:r w:rsidR="00DE7A42" w:rsidRPr="00DE7A42">
        <w:rPr>
          <w:lang w:val="fr-FR"/>
        </w:rPr>
        <w:t>’</w:t>
      </w:r>
      <w:r w:rsidR="00FC2435" w:rsidRPr="00DE7A42">
        <w:rPr>
          <w:lang w:val="fr-FR"/>
        </w:rPr>
        <w:t xml:space="preserve">I.P., de 18 h à 21 </w:t>
      </w:r>
      <w:r w:rsidR="0062594E" w:rsidRPr="00DE7A42">
        <w:rPr>
          <w:lang w:val="fr-FR"/>
        </w:rPr>
        <w:t>h ; chaque deuxième week-end, du</w:t>
      </w:r>
      <w:r w:rsidR="00FC2435" w:rsidRPr="00DE7A42">
        <w:rPr>
          <w:lang w:val="fr-FR"/>
        </w:rPr>
        <w:t xml:space="preserve"> samedi 17 h </w:t>
      </w:r>
      <w:r w:rsidR="0062594E" w:rsidRPr="00DE7A42">
        <w:rPr>
          <w:lang w:val="fr-FR"/>
        </w:rPr>
        <w:t>au</w:t>
      </w:r>
      <w:r w:rsidR="00FC2435" w:rsidRPr="00DE7A42">
        <w:rPr>
          <w:lang w:val="fr-FR"/>
        </w:rPr>
        <w:t xml:space="preserve"> dimanche 18 h ; pendant la période estivale pour quinze jours après consultation des parents.</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12</w:t>
      </w:r>
      <w:r w:rsidRPr="00DE7A42">
        <w:rPr>
          <w:lang w:val="fr-FR"/>
        </w:rPr>
        <w:fldChar w:fldCharType="end"/>
      </w:r>
      <w:r w:rsidRPr="00DE7A42">
        <w:rPr>
          <w:lang w:val="fr-FR"/>
        </w:rPr>
        <w:t xml:space="preserve">.  Le requérant prétend que lors </w:t>
      </w:r>
      <w:r w:rsidR="00A22C47" w:rsidRPr="00DE7A42">
        <w:rPr>
          <w:lang w:val="fr-FR"/>
        </w:rPr>
        <w:t>d</w:t>
      </w:r>
      <w:r w:rsidRPr="00DE7A42">
        <w:rPr>
          <w:lang w:val="fr-FR"/>
        </w:rPr>
        <w:t>es contacts au domicile d</w:t>
      </w:r>
      <w:r w:rsidR="00DE7A42" w:rsidRPr="00DE7A42">
        <w:rPr>
          <w:lang w:val="fr-FR"/>
        </w:rPr>
        <w:t>’</w:t>
      </w:r>
      <w:r w:rsidRPr="00DE7A42">
        <w:rPr>
          <w:lang w:val="fr-FR"/>
        </w:rPr>
        <w:t>I.P., il était surveillé par deux ou trois membres de la secte à laquelle I.P. appartenait. De plus, I.P. avait refusé au requérant l</w:t>
      </w:r>
      <w:r w:rsidR="00DE7A42" w:rsidRPr="00DE7A42">
        <w:rPr>
          <w:lang w:val="fr-FR"/>
        </w:rPr>
        <w:t>’</w:t>
      </w:r>
      <w:r w:rsidRPr="00DE7A42">
        <w:rPr>
          <w:lang w:val="fr-FR"/>
        </w:rPr>
        <w:t>accès aux enfants lors des week-ends penda</w:t>
      </w:r>
      <w:r w:rsidR="00127013" w:rsidRPr="00DE7A42">
        <w:rPr>
          <w:lang w:val="fr-FR"/>
        </w:rPr>
        <w:t xml:space="preserve">nt lesquels il avait le droit de les </w:t>
      </w:r>
      <w:r w:rsidRPr="00DE7A42">
        <w:rPr>
          <w:lang w:val="fr-FR"/>
        </w:rPr>
        <w:t>héberger.</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13</w:t>
      </w:r>
      <w:r w:rsidRPr="00DE7A42">
        <w:rPr>
          <w:lang w:val="fr-FR"/>
        </w:rPr>
        <w:fldChar w:fldCharType="end"/>
      </w:r>
      <w:r w:rsidRPr="00DE7A42">
        <w:rPr>
          <w:lang w:val="fr-FR"/>
        </w:rPr>
        <w:t xml:space="preserve">.  Le requérant eut la garde des enfants </w:t>
      </w:r>
      <w:r w:rsidR="00A22C47" w:rsidRPr="00DE7A42">
        <w:rPr>
          <w:lang w:val="fr-FR"/>
        </w:rPr>
        <w:t xml:space="preserve">durant </w:t>
      </w:r>
      <w:r w:rsidRPr="00DE7A42">
        <w:rPr>
          <w:lang w:val="fr-FR"/>
        </w:rPr>
        <w:t>quinze jours pendant l</w:t>
      </w:r>
      <w:r w:rsidR="00DE7A42" w:rsidRPr="00DE7A42">
        <w:rPr>
          <w:lang w:val="fr-FR"/>
        </w:rPr>
        <w:t>’</w:t>
      </w:r>
      <w:r w:rsidRPr="00DE7A42">
        <w:rPr>
          <w:lang w:val="fr-FR"/>
        </w:rPr>
        <w:t xml:space="preserve">été, comme ordonné </w:t>
      </w:r>
      <w:r w:rsidR="00A22C47" w:rsidRPr="00DE7A42">
        <w:rPr>
          <w:lang w:val="fr-FR"/>
        </w:rPr>
        <w:t xml:space="preserve">par </w:t>
      </w:r>
      <w:r w:rsidRPr="00DE7A42">
        <w:rPr>
          <w:lang w:val="fr-FR"/>
        </w:rPr>
        <w:t>le tribunal. Le requérant prétend que les enfants ne voulaient plus rentrer chez leur mère et que lorsqu</w:t>
      </w:r>
      <w:r w:rsidR="00DE7A42" w:rsidRPr="00DE7A42">
        <w:rPr>
          <w:lang w:val="fr-FR"/>
        </w:rPr>
        <w:t>’</w:t>
      </w:r>
      <w:r w:rsidRPr="00DE7A42">
        <w:rPr>
          <w:lang w:val="fr-FR"/>
        </w:rPr>
        <w:t xml:space="preserve">elle les récupéra, à la fin de cette période, elle le menaça </w:t>
      </w:r>
      <w:r w:rsidR="00A22C47" w:rsidRPr="00DE7A42">
        <w:rPr>
          <w:lang w:val="fr-FR"/>
        </w:rPr>
        <w:t>qu</w:t>
      </w:r>
      <w:r w:rsidR="00DE7A42" w:rsidRPr="00DE7A42">
        <w:rPr>
          <w:lang w:val="fr-FR"/>
        </w:rPr>
        <w:t>’</w:t>
      </w:r>
      <w:r w:rsidR="00A22C47" w:rsidRPr="00DE7A42">
        <w:rPr>
          <w:lang w:val="fr-FR"/>
        </w:rPr>
        <w:t>il ne pourrait plus les</w:t>
      </w:r>
      <w:r w:rsidRPr="00DE7A42">
        <w:rPr>
          <w:lang w:val="fr-FR"/>
        </w:rPr>
        <w:t xml:space="preserve"> voir en dehors de son domicile à elle.</w:t>
      </w:r>
    </w:p>
    <w:p w:rsidR="00DE7A42"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14</w:t>
      </w:r>
      <w:r w:rsidRPr="00DE7A42">
        <w:rPr>
          <w:lang w:val="fr-FR"/>
        </w:rPr>
        <w:fldChar w:fldCharType="end"/>
      </w:r>
      <w:r w:rsidRPr="00DE7A42">
        <w:rPr>
          <w:lang w:val="fr-FR"/>
        </w:rPr>
        <w:t>.  Le 11 octobre 2010, I.P. déposa une demande au tribunal de première instance d</w:t>
      </w:r>
      <w:r w:rsidR="00DE7A42" w:rsidRPr="00DE7A42">
        <w:rPr>
          <w:lang w:val="fr-FR"/>
        </w:rPr>
        <w:t>’</w:t>
      </w:r>
      <w:r w:rsidRPr="00DE7A42">
        <w:rPr>
          <w:lang w:val="fr-FR"/>
        </w:rPr>
        <w:t>Athènes tendant à faire interdire les contacts du requérant avec les enfants.</w:t>
      </w:r>
    </w:p>
    <w:p w:rsidR="00DE7A42" w:rsidRPr="00DE7A42" w:rsidRDefault="007931EB"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15</w:t>
      </w:r>
      <w:r w:rsidRPr="00DE7A42">
        <w:rPr>
          <w:lang w:val="fr-FR"/>
        </w:rPr>
        <w:fldChar w:fldCharType="end"/>
      </w:r>
      <w:r w:rsidRPr="00DE7A42">
        <w:rPr>
          <w:lang w:val="fr-FR"/>
        </w:rPr>
        <w:t>.  </w:t>
      </w:r>
      <w:r w:rsidR="00FC2435" w:rsidRPr="00DE7A42">
        <w:rPr>
          <w:lang w:val="fr-FR"/>
        </w:rPr>
        <w:t>De son côté, le 22 octobre 2010, le requérant saisit le même tribunal d</w:t>
      </w:r>
      <w:r w:rsidR="00DE7A42" w:rsidRPr="00DE7A42">
        <w:rPr>
          <w:lang w:val="fr-FR"/>
        </w:rPr>
        <w:t>’</w:t>
      </w:r>
      <w:r w:rsidR="00FC2435" w:rsidRPr="00DE7A42">
        <w:rPr>
          <w:lang w:val="fr-FR"/>
        </w:rPr>
        <w:t xml:space="preserve">une demande tendant à obtenir </w:t>
      </w:r>
      <w:r w:rsidRPr="00DE7A42">
        <w:rPr>
          <w:lang w:val="fr-FR"/>
        </w:rPr>
        <w:t xml:space="preserve">la garde des </w:t>
      </w:r>
      <w:r w:rsidR="00FC2435" w:rsidRPr="00DE7A42">
        <w:rPr>
          <w:lang w:val="fr-FR"/>
        </w:rPr>
        <w:t xml:space="preserve">enfants en </w:t>
      </w:r>
      <w:r w:rsidRPr="00DE7A42">
        <w:rPr>
          <w:lang w:val="fr-FR"/>
        </w:rPr>
        <w:t>invoquant, entre autres, le comportement d</w:t>
      </w:r>
      <w:r w:rsidR="00DE7A42" w:rsidRPr="00DE7A42">
        <w:rPr>
          <w:lang w:val="fr-FR"/>
        </w:rPr>
        <w:t>’</w:t>
      </w:r>
      <w:r w:rsidRPr="00DE7A42">
        <w:rPr>
          <w:lang w:val="fr-FR"/>
        </w:rPr>
        <w:t>I.P. en ce qui concern</w:t>
      </w:r>
      <w:r w:rsidR="00F83833" w:rsidRPr="00DE7A42">
        <w:rPr>
          <w:lang w:val="fr-FR"/>
        </w:rPr>
        <w:t>ait</w:t>
      </w:r>
      <w:r w:rsidRPr="00DE7A42">
        <w:rPr>
          <w:lang w:val="fr-FR"/>
        </w:rPr>
        <w:t xml:space="preserve"> le droit de visite.</w:t>
      </w:r>
      <w:r w:rsidR="00A22C47" w:rsidRPr="00DE7A42">
        <w:rPr>
          <w:lang w:val="fr-FR"/>
        </w:rPr>
        <w:t xml:space="preserve"> Par un jugement avant </w:t>
      </w:r>
      <w:r w:rsidR="00736479" w:rsidRPr="00DE7A42">
        <w:rPr>
          <w:lang w:val="fr-FR"/>
        </w:rPr>
        <w:t>dire droit du 8</w:t>
      </w:r>
      <w:r w:rsidR="00705EEA" w:rsidRPr="00DE7A42">
        <w:rPr>
          <w:lang w:val="fr-FR"/>
        </w:rPr>
        <w:t xml:space="preserve"> janvier 2012, le tribunal ordonna une nouvelle expertise.</w:t>
      </w:r>
    </w:p>
    <w:p w:rsidR="00705EEA"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16</w:t>
      </w:r>
      <w:r w:rsidRPr="00DE7A42">
        <w:rPr>
          <w:lang w:val="fr-FR"/>
        </w:rPr>
        <w:fldChar w:fldCharType="end"/>
      </w:r>
      <w:r w:rsidRPr="00DE7A42">
        <w:rPr>
          <w:lang w:val="fr-FR"/>
        </w:rPr>
        <w:t>.  Par une décision n</w:t>
      </w:r>
      <w:r w:rsidR="004831D1" w:rsidRPr="00DE7A42">
        <w:rPr>
          <w:vertAlign w:val="superscript"/>
          <w:lang w:val="fr-FR"/>
        </w:rPr>
        <w:t>o</w:t>
      </w:r>
      <w:r w:rsidRPr="00DE7A42">
        <w:rPr>
          <w:lang w:val="fr-FR"/>
        </w:rPr>
        <w:t xml:space="preserve"> 1376/2011 du 14 février 2011, le tribunal rejeta la demande d</w:t>
      </w:r>
      <w:r w:rsidR="00DE7A42" w:rsidRPr="00DE7A42">
        <w:rPr>
          <w:lang w:val="fr-FR"/>
        </w:rPr>
        <w:t>’</w:t>
      </w:r>
      <w:r w:rsidRPr="00DE7A42">
        <w:rPr>
          <w:lang w:val="fr-FR"/>
        </w:rPr>
        <w:t>I.P. et</w:t>
      </w:r>
      <w:r w:rsidR="00F83833" w:rsidRPr="00DE7A42">
        <w:rPr>
          <w:lang w:val="fr-FR"/>
        </w:rPr>
        <w:t xml:space="preserve"> statua provisoirement sur la garde des enfants qu</w:t>
      </w:r>
      <w:r w:rsidR="00DE7A42" w:rsidRPr="00DE7A42">
        <w:rPr>
          <w:lang w:val="fr-FR"/>
        </w:rPr>
        <w:t>’</w:t>
      </w:r>
      <w:r w:rsidR="00F83833" w:rsidRPr="00DE7A42">
        <w:rPr>
          <w:lang w:val="fr-FR"/>
        </w:rPr>
        <w:t>il attribua à I.P. et sur le droit de visite du requérant.</w:t>
      </w:r>
      <w:r w:rsidRPr="00DE7A42">
        <w:rPr>
          <w:lang w:val="fr-FR"/>
        </w:rPr>
        <w:t xml:space="preserve"> </w:t>
      </w:r>
      <w:r w:rsidR="00F83833" w:rsidRPr="00DE7A42">
        <w:rPr>
          <w:lang w:val="fr-FR"/>
        </w:rPr>
        <w:t xml:space="preserve">La procédure principale était encore pendante </w:t>
      </w:r>
      <w:r w:rsidR="00873633" w:rsidRPr="00DE7A42">
        <w:rPr>
          <w:lang w:val="fr-FR"/>
        </w:rPr>
        <w:t xml:space="preserve">en 2015 </w:t>
      </w:r>
      <w:r w:rsidR="00F83833" w:rsidRPr="00DE7A42">
        <w:rPr>
          <w:lang w:val="fr-FR"/>
        </w:rPr>
        <w:t>à la date de l</w:t>
      </w:r>
      <w:r w:rsidR="00DE7A42" w:rsidRPr="00DE7A42">
        <w:rPr>
          <w:lang w:val="fr-FR"/>
        </w:rPr>
        <w:t>’</w:t>
      </w:r>
      <w:r w:rsidR="00F83833" w:rsidRPr="00DE7A42">
        <w:rPr>
          <w:lang w:val="fr-FR"/>
        </w:rPr>
        <w:t>envoi à la Cour</w:t>
      </w:r>
      <w:r w:rsidR="006920F1" w:rsidRPr="00DE7A42">
        <w:rPr>
          <w:lang w:val="fr-FR"/>
        </w:rPr>
        <w:t xml:space="preserve">, </w:t>
      </w:r>
      <w:r w:rsidR="00F83833" w:rsidRPr="00DE7A42">
        <w:rPr>
          <w:lang w:val="fr-FR"/>
        </w:rPr>
        <w:t>des observations des parties.</w:t>
      </w:r>
    </w:p>
    <w:p w:rsidR="00DE7A42" w:rsidRPr="00DE7A42" w:rsidRDefault="00C56FC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17</w:t>
      </w:r>
      <w:r w:rsidRPr="00DE7A42">
        <w:rPr>
          <w:lang w:val="fr-FR"/>
        </w:rPr>
        <w:fldChar w:fldCharType="end"/>
      </w:r>
      <w:r w:rsidRPr="00DE7A42">
        <w:rPr>
          <w:lang w:val="fr-FR"/>
        </w:rPr>
        <w:t>.  </w:t>
      </w:r>
      <w:r w:rsidR="00334FFC" w:rsidRPr="00DE7A42">
        <w:rPr>
          <w:lang w:val="fr-FR"/>
        </w:rPr>
        <w:t>Se fondant sur l</w:t>
      </w:r>
      <w:r w:rsidR="00DE7A42" w:rsidRPr="00DE7A42">
        <w:rPr>
          <w:lang w:val="fr-FR"/>
        </w:rPr>
        <w:t>’</w:t>
      </w:r>
      <w:r w:rsidR="00334FFC" w:rsidRPr="00DE7A42">
        <w:rPr>
          <w:lang w:val="fr-FR"/>
        </w:rPr>
        <w:t>intérêt des enfants mineurs, la situation entre les parents et l</w:t>
      </w:r>
      <w:r w:rsidR="00873633" w:rsidRPr="00DE7A42">
        <w:rPr>
          <w:lang w:val="fr-FR"/>
        </w:rPr>
        <w:t xml:space="preserve">eur </w:t>
      </w:r>
      <w:r w:rsidR="00334FFC" w:rsidRPr="00DE7A42">
        <w:rPr>
          <w:lang w:val="fr-FR"/>
        </w:rPr>
        <w:t xml:space="preserve">aptitude </w:t>
      </w:r>
      <w:r w:rsidR="00873633" w:rsidRPr="00DE7A42">
        <w:rPr>
          <w:lang w:val="fr-FR"/>
        </w:rPr>
        <w:t xml:space="preserve">à assumer </w:t>
      </w:r>
      <w:r w:rsidR="00334FFC" w:rsidRPr="00DE7A42">
        <w:rPr>
          <w:lang w:val="fr-FR"/>
        </w:rPr>
        <w:t>la garde des</w:t>
      </w:r>
      <w:r w:rsidR="00A270F1" w:rsidRPr="00DE7A42">
        <w:rPr>
          <w:lang w:val="fr-FR"/>
        </w:rPr>
        <w:t xml:space="preserve"> enfants, le tribunal estima que c</w:t>
      </w:r>
      <w:r w:rsidR="00873633" w:rsidRPr="00DE7A42">
        <w:rPr>
          <w:lang w:val="fr-FR"/>
        </w:rPr>
        <w:t>elle</w:t>
      </w:r>
      <w:r w:rsidR="00A270F1" w:rsidRPr="00DE7A42">
        <w:rPr>
          <w:lang w:val="fr-FR"/>
        </w:rPr>
        <w:t>-ci</w:t>
      </w:r>
      <w:r w:rsidR="00334FFC" w:rsidRPr="00DE7A42">
        <w:rPr>
          <w:lang w:val="fr-FR"/>
        </w:rPr>
        <w:t xml:space="preserve"> devait être confiée à I.P. Le tribunal releva à cet effet qu</w:t>
      </w:r>
      <w:r w:rsidR="00DE7A42" w:rsidRPr="00DE7A42">
        <w:rPr>
          <w:lang w:val="fr-FR"/>
        </w:rPr>
        <w:t>’</w:t>
      </w:r>
      <w:r w:rsidR="00334FFC" w:rsidRPr="00DE7A42">
        <w:rPr>
          <w:lang w:val="fr-FR"/>
        </w:rPr>
        <w:t>I.P. s</w:t>
      </w:r>
      <w:r w:rsidR="00DE7A42" w:rsidRPr="00DE7A42">
        <w:rPr>
          <w:lang w:val="fr-FR"/>
        </w:rPr>
        <w:t>’</w:t>
      </w:r>
      <w:r w:rsidR="00334FFC" w:rsidRPr="00DE7A42">
        <w:rPr>
          <w:lang w:val="fr-FR"/>
        </w:rPr>
        <w:t xml:space="preserve">était consacrée </w:t>
      </w:r>
      <w:r w:rsidR="00873633" w:rsidRPr="00DE7A42">
        <w:rPr>
          <w:lang w:val="fr-FR"/>
        </w:rPr>
        <w:t xml:space="preserve">depuis le 21 janvier 2010 </w:t>
      </w:r>
      <w:r w:rsidR="00334FFC" w:rsidRPr="00DE7A42">
        <w:rPr>
          <w:lang w:val="fr-FR"/>
        </w:rPr>
        <w:t>à ses enfants</w:t>
      </w:r>
      <w:r w:rsidR="00873633" w:rsidRPr="00DE7A42">
        <w:rPr>
          <w:lang w:val="fr-FR"/>
        </w:rPr>
        <w:t>, assistée par sa mère</w:t>
      </w:r>
      <w:r w:rsidR="00334FFC" w:rsidRPr="00DE7A42">
        <w:rPr>
          <w:lang w:val="fr-FR"/>
        </w:rPr>
        <w:t xml:space="preserve"> ex-infirmière. Il souligna aussi </w:t>
      </w:r>
      <w:r w:rsidR="00873633" w:rsidRPr="00DE7A42">
        <w:rPr>
          <w:lang w:val="fr-FR"/>
        </w:rPr>
        <w:t>que</w:t>
      </w:r>
      <w:r w:rsidR="00334FFC" w:rsidRPr="00DE7A42">
        <w:rPr>
          <w:lang w:val="fr-FR"/>
        </w:rPr>
        <w:t xml:space="preserve"> </w:t>
      </w:r>
      <w:r w:rsidR="00873633" w:rsidRPr="00DE7A42">
        <w:rPr>
          <w:lang w:val="fr-FR"/>
        </w:rPr>
        <w:t>le</w:t>
      </w:r>
      <w:r w:rsidR="00334FFC" w:rsidRPr="00DE7A42">
        <w:rPr>
          <w:lang w:val="fr-FR"/>
        </w:rPr>
        <w:t xml:space="preserve"> lieu de travail </w:t>
      </w:r>
      <w:r w:rsidR="00873633" w:rsidRPr="00DE7A42">
        <w:rPr>
          <w:lang w:val="fr-FR"/>
        </w:rPr>
        <w:t>du requérant était é</w:t>
      </w:r>
      <w:r w:rsidR="00334FFC" w:rsidRPr="00DE7A42">
        <w:rPr>
          <w:lang w:val="fr-FR"/>
        </w:rPr>
        <w:t>loi</w:t>
      </w:r>
      <w:r w:rsidR="00873633" w:rsidRPr="00DE7A42">
        <w:rPr>
          <w:lang w:val="fr-FR"/>
        </w:rPr>
        <w:t>gné</w:t>
      </w:r>
      <w:r w:rsidR="00334FFC" w:rsidRPr="00DE7A42">
        <w:rPr>
          <w:lang w:val="fr-FR"/>
        </w:rPr>
        <w:t xml:space="preserve"> du domicile des enfants, </w:t>
      </w:r>
      <w:r w:rsidR="00873633" w:rsidRPr="00DE7A42">
        <w:rPr>
          <w:lang w:val="fr-FR"/>
        </w:rPr>
        <w:t>qu</w:t>
      </w:r>
      <w:r w:rsidR="00DE7A42" w:rsidRPr="00DE7A42">
        <w:rPr>
          <w:lang w:val="fr-FR"/>
        </w:rPr>
        <w:t>’</w:t>
      </w:r>
      <w:r w:rsidR="00873633" w:rsidRPr="00DE7A42">
        <w:rPr>
          <w:lang w:val="fr-FR"/>
        </w:rPr>
        <w:t xml:space="preserve">il </w:t>
      </w:r>
      <w:r w:rsidR="00334FFC" w:rsidRPr="00DE7A42">
        <w:rPr>
          <w:lang w:val="fr-FR"/>
        </w:rPr>
        <w:t>travaillait plus de huit heures par jour et n</w:t>
      </w:r>
      <w:r w:rsidR="00DE7A42" w:rsidRPr="00DE7A42">
        <w:rPr>
          <w:lang w:val="fr-FR"/>
        </w:rPr>
        <w:t>’</w:t>
      </w:r>
      <w:r w:rsidR="00334FFC" w:rsidRPr="00DE7A42">
        <w:rPr>
          <w:lang w:val="fr-FR"/>
        </w:rPr>
        <w:t>était pas en mesure de faire face aux besoins des enfants qui exigeaient une présence constante</w:t>
      </w:r>
      <w:r w:rsidR="00873633" w:rsidRPr="00DE7A42">
        <w:rPr>
          <w:lang w:val="fr-FR"/>
        </w:rPr>
        <w:t xml:space="preserve">. Par ailleurs, </w:t>
      </w:r>
      <w:r w:rsidR="00334FFC" w:rsidRPr="00DE7A42">
        <w:rPr>
          <w:lang w:val="fr-FR"/>
        </w:rPr>
        <w:t>il n</w:t>
      </w:r>
      <w:r w:rsidR="00DE7A42" w:rsidRPr="00DE7A42">
        <w:rPr>
          <w:lang w:val="fr-FR"/>
        </w:rPr>
        <w:t>’</w:t>
      </w:r>
      <w:r w:rsidR="00334FFC" w:rsidRPr="00DE7A42">
        <w:rPr>
          <w:lang w:val="fr-FR"/>
        </w:rPr>
        <w:t>avait pas de domicile stable et approprié</w:t>
      </w:r>
      <w:r w:rsidR="00873633" w:rsidRPr="00DE7A42">
        <w:rPr>
          <w:lang w:val="fr-FR"/>
        </w:rPr>
        <w:t xml:space="preserve"> étant</w:t>
      </w:r>
      <w:r w:rsidR="00334FFC" w:rsidRPr="00DE7A42">
        <w:rPr>
          <w:lang w:val="fr-FR"/>
        </w:rPr>
        <w:t xml:space="preserve"> hébergé chez ses parents qui accueillaient </w:t>
      </w:r>
      <w:r w:rsidR="00873633" w:rsidRPr="00DE7A42">
        <w:rPr>
          <w:lang w:val="fr-FR"/>
        </w:rPr>
        <w:t>également</w:t>
      </w:r>
      <w:r w:rsidR="00334FFC" w:rsidRPr="00DE7A42">
        <w:rPr>
          <w:lang w:val="fr-FR"/>
        </w:rPr>
        <w:t xml:space="preserve"> la famille de son frère.</w:t>
      </w:r>
    </w:p>
    <w:p w:rsidR="001E4497" w:rsidRPr="00DE7A42" w:rsidRDefault="00C56FC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18</w:t>
      </w:r>
      <w:r w:rsidRPr="00DE7A42">
        <w:rPr>
          <w:lang w:val="fr-FR"/>
        </w:rPr>
        <w:fldChar w:fldCharType="end"/>
      </w:r>
      <w:r w:rsidRPr="00DE7A42">
        <w:rPr>
          <w:lang w:val="fr-FR"/>
        </w:rPr>
        <w:t>.  </w:t>
      </w:r>
      <w:r w:rsidR="001E4497" w:rsidRPr="00DE7A42">
        <w:rPr>
          <w:lang w:val="fr-FR"/>
        </w:rPr>
        <w:t>En outre, le tribunal considéra que les allégations du requérant</w:t>
      </w:r>
      <w:r w:rsidR="00AE70C6" w:rsidRPr="00DE7A42">
        <w:rPr>
          <w:lang w:val="fr-FR"/>
        </w:rPr>
        <w:t>,</w:t>
      </w:r>
      <w:r w:rsidR="001E4497" w:rsidRPr="00DE7A42">
        <w:rPr>
          <w:lang w:val="fr-FR"/>
        </w:rPr>
        <w:t xml:space="preserve"> relatives à la personnalité perturbée d</w:t>
      </w:r>
      <w:r w:rsidR="00DE7A42" w:rsidRPr="00DE7A42">
        <w:rPr>
          <w:lang w:val="fr-FR"/>
        </w:rPr>
        <w:t>’</w:t>
      </w:r>
      <w:r w:rsidR="001E4497" w:rsidRPr="00DE7A42">
        <w:rPr>
          <w:lang w:val="fr-FR"/>
        </w:rPr>
        <w:t>I.P.</w:t>
      </w:r>
      <w:r w:rsidR="00AE70C6" w:rsidRPr="00DE7A42">
        <w:rPr>
          <w:lang w:val="fr-FR"/>
        </w:rPr>
        <w:t>,</w:t>
      </w:r>
      <w:r w:rsidR="001E4497" w:rsidRPr="00DE7A42">
        <w:rPr>
          <w:lang w:val="fr-FR"/>
        </w:rPr>
        <w:t xml:space="preserve"> </w:t>
      </w:r>
      <w:r w:rsidR="00AE70C6" w:rsidRPr="00DE7A42">
        <w:rPr>
          <w:lang w:val="fr-FR"/>
        </w:rPr>
        <w:t>n</w:t>
      </w:r>
      <w:r w:rsidR="00DE7A42" w:rsidRPr="00DE7A42">
        <w:rPr>
          <w:lang w:val="fr-FR"/>
        </w:rPr>
        <w:t>’</w:t>
      </w:r>
      <w:r w:rsidR="001E4497" w:rsidRPr="00DE7A42">
        <w:rPr>
          <w:lang w:val="fr-FR"/>
        </w:rPr>
        <w:t xml:space="preserve">étaient pas fondées, </w:t>
      </w:r>
      <w:r w:rsidR="00873633" w:rsidRPr="00DE7A42">
        <w:rPr>
          <w:lang w:val="fr-FR"/>
        </w:rPr>
        <w:t>car les convictions religieuses -</w:t>
      </w:r>
      <w:r w:rsidR="001E4497" w:rsidRPr="00DE7A42">
        <w:rPr>
          <w:lang w:val="fr-FR"/>
        </w:rPr>
        <w:t xml:space="preserve"> qui constituaient un aspect de la personnalité</w:t>
      </w:r>
      <w:r w:rsidR="00873633" w:rsidRPr="00DE7A42">
        <w:rPr>
          <w:lang w:val="fr-FR"/>
        </w:rPr>
        <w:t xml:space="preserve"> -</w:t>
      </w:r>
      <w:r w:rsidR="001E4497" w:rsidRPr="00DE7A42">
        <w:rPr>
          <w:lang w:val="fr-FR"/>
        </w:rPr>
        <w:t xml:space="preserve"> ne suffisaient pas </w:t>
      </w:r>
      <w:r w:rsidR="00873633" w:rsidRPr="00DE7A42">
        <w:rPr>
          <w:lang w:val="fr-FR"/>
        </w:rPr>
        <w:t>à</w:t>
      </w:r>
      <w:r w:rsidR="001E4497" w:rsidRPr="00DE7A42">
        <w:rPr>
          <w:lang w:val="fr-FR"/>
        </w:rPr>
        <w:t xml:space="preserve"> rendre I.P. inapte à s</w:t>
      </w:r>
      <w:r w:rsidR="00DE7A42" w:rsidRPr="00DE7A42">
        <w:rPr>
          <w:lang w:val="fr-FR"/>
        </w:rPr>
        <w:t>’</w:t>
      </w:r>
      <w:r w:rsidR="001E4497" w:rsidRPr="00DE7A42">
        <w:rPr>
          <w:lang w:val="fr-FR"/>
        </w:rPr>
        <w:t>occuper de ses enfants.</w:t>
      </w:r>
    </w:p>
    <w:p w:rsidR="00806C40" w:rsidRPr="00DE7A42" w:rsidRDefault="006165C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19</w:t>
      </w:r>
      <w:r w:rsidRPr="00DE7A42">
        <w:rPr>
          <w:lang w:val="fr-FR"/>
        </w:rPr>
        <w:fldChar w:fldCharType="end"/>
      </w:r>
      <w:r w:rsidRPr="00DE7A42">
        <w:rPr>
          <w:lang w:val="fr-FR"/>
        </w:rPr>
        <w:t>.  </w:t>
      </w:r>
      <w:r w:rsidR="00873633" w:rsidRPr="00DE7A42">
        <w:rPr>
          <w:lang w:val="fr-FR"/>
        </w:rPr>
        <w:t>C</w:t>
      </w:r>
      <w:r w:rsidRPr="00DE7A42">
        <w:rPr>
          <w:lang w:val="fr-FR"/>
        </w:rPr>
        <w:t>oncern</w:t>
      </w:r>
      <w:r w:rsidR="00873633" w:rsidRPr="00DE7A42">
        <w:rPr>
          <w:lang w:val="fr-FR"/>
        </w:rPr>
        <w:t>an</w:t>
      </w:r>
      <w:r w:rsidR="006920F1" w:rsidRPr="00DE7A42">
        <w:rPr>
          <w:lang w:val="fr-FR"/>
        </w:rPr>
        <w:t>t</w:t>
      </w:r>
      <w:r w:rsidRPr="00DE7A42">
        <w:rPr>
          <w:lang w:val="fr-FR"/>
        </w:rPr>
        <w:t xml:space="preserve"> le droit de visite du requérant, le tribunal souligna que le vrai intérêt des enfants mineurs dictait la communication régulière de ceux-ci avec leur père, afin d</w:t>
      </w:r>
      <w:r w:rsidR="00DE7A42" w:rsidRPr="00DE7A42">
        <w:rPr>
          <w:lang w:val="fr-FR"/>
        </w:rPr>
        <w:t>’</w:t>
      </w:r>
      <w:r w:rsidRPr="00DE7A42">
        <w:rPr>
          <w:lang w:val="fr-FR"/>
        </w:rPr>
        <w:t>écarter le risque de relâchement de leurs liens et afin d</w:t>
      </w:r>
      <w:r w:rsidR="00DE7A42" w:rsidRPr="00DE7A42">
        <w:rPr>
          <w:lang w:val="fr-FR"/>
        </w:rPr>
        <w:t>’</w:t>
      </w:r>
      <w:r w:rsidRPr="00DE7A42">
        <w:rPr>
          <w:lang w:val="fr-FR"/>
        </w:rPr>
        <w:t>assurer leur équilibre psychosomatique et un développement normal.</w:t>
      </w:r>
      <w:r w:rsidR="00806C40" w:rsidRPr="00DE7A42">
        <w:rPr>
          <w:lang w:val="fr-FR"/>
        </w:rPr>
        <w:t xml:space="preserve"> Il fixa alors de nouvelles règles concernant le droit de visite du requérant l</w:t>
      </w:r>
      <w:r w:rsidR="00DE7A42" w:rsidRPr="00DE7A42">
        <w:rPr>
          <w:lang w:val="fr-FR"/>
        </w:rPr>
        <w:t>’</w:t>
      </w:r>
      <w:r w:rsidR="00806C40" w:rsidRPr="00DE7A42">
        <w:rPr>
          <w:lang w:val="fr-FR"/>
        </w:rPr>
        <w:t>autorisant à prendre les enfants du domicile d</w:t>
      </w:r>
      <w:r w:rsidR="00DE7A42" w:rsidRPr="00DE7A42">
        <w:rPr>
          <w:lang w:val="fr-FR"/>
        </w:rPr>
        <w:t>’</w:t>
      </w:r>
      <w:r w:rsidR="00806C40" w:rsidRPr="00DE7A42">
        <w:rPr>
          <w:lang w:val="fr-FR"/>
        </w:rPr>
        <w:t>I.P. Enfin, il déclara qu</w:t>
      </w:r>
      <w:r w:rsidR="00DE7A42" w:rsidRPr="00DE7A42">
        <w:rPr>
          <w:lang w:val="fr-FR"/>
        </w:rPr>
        <w:t>’</w:t>
      </w:r>
      <w:r w:rsidR="00806C40" w:rsidRPr="00DE7A42">
        <w:rPr>
          <w:lang w:val="fr-FR"/>
        </w:rPr>
        <w:t xml:space="preserve">I.P. </w:t>
      </w:r>
      <w:r w:rsidR="00873633" w:rsidRPr="00DE7A42">
        <w:rPr>
          <w:lang w:val="fr-FR"/>
        </w:rPr>
        <w:t xml:space="preserve">pourrait </w:t>
      </w:r>
      <w:r w:rsidR="005B2CB9" w:rsidRPr="00DE7A42">
        <w:rPr>
          <w:lang w:val="fr-FR"/>
        </w:rPr>
        <w:t>être détenue</w:t>
      </w:r>
      <w:r w:rsidR="00806C40" w:rsidRPr="00DE7A42">
        <w:rPr>
          <w:lang w:val="fr-FR"/>
        </w:rPr>
        <w:t xml:space="preserve"> </w:t>
      </w:r>
      <w:r w:rsidR="005B2CB9" w:rsidRPr="00DE7A42">
        <w:rPr>
          <w:lang w:val="fr-FR"/>
        </w:rPr>
        <w:t xml:space="preserve">pour </w:t>
      </w:r>
      <w:r w:rsidR="00806C40" w:rsidRPr="00DE7A42">
        <w:rPr>
          <w:lang w:val="fr-FR"/>
        </w:rPr>
        <w:t>une durée d</w:t>
      </w:r>
      <w:r w:rsidR="00DE7A42" w:rsidRPr="00DE7A42">
        <w:rPr>
          <w:lang w:val="fr-FR"/>
        </w:rPr>
        <w:t>’</w:t>
      </w:r>
      <w:r w:rsidR="00806C40" w:rsidRPr="00DE7A42">
        <w:rPr>
          <w:lang w:val="fr-FR"/>
        </w:rPr>
        <w:t xml:space="preserve">un mois et </w:t>
      </w:r>
      <w:r w:rsidR="00873633" w:rsidRPr="00DE7A42">
        <w:rPr>
          <w:lang w:val="fr-FR"/>
        </w:rPr>
        <w:t xml:space="preserve">condamnée à </w:t>
      </w:r>
      <w:r w:rsidR="005B2CB9" w:rsidRPr="00DE7A42">
        <w:rPr>
          <w:lang w:val="fr-FR"/>
        </w:rPr>
        <w:t xml:space="preserve">payer </w:t>
      </w:r>
      <w:r w:rsidR="00873633" w:rsidRPr="00DE7A42">
        <w:rPr>
          <w:lang w:val="fr-FR"/>
        </w:rPr>
        <w:t>une amende de 500 </w:t>
      </w:r>
      <w:r w:rsidR="00806C40" w:rsidRPr="00DE7A42">
        <w:rPr>
          <w:lang w:val="fr-FR"/>
        </w:rPr>
        <w:t>euros chaque fois qu</w:t>
      </w:r>
      <w:r w:rsidR="00DE7A42" w:rsidRPr="00DE7A42">
        <w:rPr>
          <w:lang w:val="fr-FR"/>
        </w:rPr>
        <w:t>’</w:t>
      </w:r>
      <w:r w:rsidR="00806C40" w:rsidRPr="00DE7A42">
        <w:rPr>
          <w:lang w:val="fr-FR"/>
        </w:rPr>
        <w:t>elle méconna</w:t>
      </w:r>
      <w:r w:rsidR="00736479" w:rsidRPr="00DE7A42">
        <w:rPr>
          <w:lang w:val="fr-FR"/>
        </w:rPr>
        <w:t>î</w:t>
      </w:r>
      <w:r w:rsidR="00806C40" w:rsidRPr="00DE7A42">
        <w:rPr>
          <w:lang w:val="fr-FR"/>
        </w:rPr>
        <w:t>trait les termes</w:t>
      </w:r>
      <w:r w:rsidR="005B2CB9" w:rsidRPr="00DE7A42">
        <w:rPr>
          <w:lang w:val="fr-FR"/>
        </w:rPr>
        <w:t xml:space="preserve"> du jugement</w:t>
      </w:r>
      <w:r w:rsidR="00806C40" w:rsidRPr="00DE7A42">
        <w:rPr>
          <w:lang w:val="fr-FR"/>
        </w:rPr>
        <w:t>.</w:t>
      </w:r>
    </w:p>
    <w:p w:rsidR="00DE7A42"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20</w:t>
      </w:r>
      <w:r w:rsidRPr="00DE7A42">
        <w:rPr>
          <w:lang w:val="fr-FR"/>
        </w:rPr>
        <w:fldChar w:fldCharType="end"/>
      </w:r>
      <w:r w:rsidRPr="00DE7A42">
        <w:rPr>
          <w:lang w:val="fr-FR"/>
        </w:rPr>
        <w:t>.  Le requérant souligne qu</w:t>
      </w:r>
      <w:r w:rsidR="00DE7A42" w:rsidRPr="00DE7A42">
        <w:rPr>
          <w:lang w:val="fr-FR"/>
        </w:rPr>
        <w:t>’</w:t>
      </w:r>
      <w:r w:rsidRPr="00DE7A42">
        <w:rPr>
          <w:lang w:val="fr-FR"/>
        </w:rPr>
        <w:t>I.P. ne se conforma jamais à la décision n</w:t>
      </w:r>
      <w:r w:rsidR="004831D1" w:rsidRPr="00DE7A42">
        <w:rPr>
          <w:vertAlign w:val="superscript"/>
          <w:lang w:val="fr-FR"/>
        </w:rPr>
        <w:t>o</w:t>
      </w:r>
      <w:r w:rsidRPr="00DE7A42">
        <w:rPr>
          <w:lang w:val="fr-FR"/>
        </w:rPr>
        <w:t> 1376/2011. Il prétend même que le 26 février 2011, alors qu</w:t>
      </w:r>
      <w:r w:rsidR="00DE7A42" w:rsidRPr="00DE7A42">
        <w:rPr>
          <w:lang w:val="fr-FR"/>
        </w:rPr>
        <w:t>’</w:t>
      </w:r>
      <w:r w:rsidRPr="00DE7A42">
        <w:rPr>
          <w:lang w:val="fr-FR"/>
        </w:rPr>
        <w:t>il se présenta au domicile d</w:t>
      </w:r>
      <w:r w:rsidR="00DE7A42" w:rsidRPr="00DE7A42">
        <w:rPr>
          <w:lang w:val="fr-FR"/>
        </w:rPr>
        <w:t>’</w:t>
      </w:r>
      <w:r w:rsidRPr="00DE7A42">
        <w:rPr>
          <w:lang w:val="fr-FR"/>
        </w:rPr>
        <w:t>I.P. pour récupérer les enfants, cette dernière avait appelé la police pour l</w:t>
      </w:r>
      <w:r w:rsidR="00DE7A42" w:rsidRPr="00DE7A42">
        <w:rPr>
          <w:lang w:val="fr-FR"/>
        </w:rPr>
        <w:t>’</w:t>
      </w:r>
      <w:r w:rsidRPr="00DE7A42">
        <w:rPr>
          <w:lang w:val="fr-FR"/>
        </w:rPr>
        <w:t>arrêter au motif qu</w:t>
      </w:r>
      <w:r w:rsidR="00DE7A42" w:rsidRPr="00DE7A42">
        <w:rPr>
          <w:lang w:val="fr-FR"/>
        </w:rPr>
        <w:t>’</w:t>
      </w:r>
      <w:r w:rsidRPr="00DE7A42">
        <w:rPr>
          <w:lang w:val="fr-FR"/>
        </w:rPr>
        <w:t>il n</w:t>
      </w:r>
      <w:r w:rsidR="00DE7A42" w:rsidRPr="00DE7A42">
        <w:rPr>
          <w:lang w:val="fr-FR"/>
        </w:rPr>
        <w:t>’</w:t>
      </w:r>
      <w:r w:rsidRPr="00DE7A42">
        <w:rPr>
          <w:lang w:val="fr-FR"/>
        </w:rPr>
        <w:t xml:space="preserve">avait </w:t>
      </w:r>
      <w:r w:rsidR="00AE680A" w:rsidRPr="00DE7A42">
        <w:rPr>
          <w:lang w:val="fr-FR"/>
        </w:rPr>
        <w:t xml:space="preserve">pas </w:t>
      </w:r>
      <w:r w:rsidRPr="00DE7A42">
        <w:rPr>
          <w:lang w:val="fr-FR"/>
        </w:rPr>
        <w:t>versé la pension alimentaire.</w:t>
      </w:r>
    </w:p>
    <w:p w:rsidR="00EC5FF4"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21</w:t>
      </w:r>
      <w:r w:rsidRPr="00DE7A42">
        <w:rPr>
          <w:lang w:val="fr-FR"/>
        </w:rPr>
        <w:fldChar w:fldCharType="end"/>
      </w:r>
      <w:r w:rsidRPr="00DE7A42">
        <w:rPr>
          <w:lang w:val="fr-FR"/>
        </w:rPr>
        <w:t>.  En application de la décision n</w:t>
      </w:r>
      <w:r w:rsidR="004831D1" w:rsidRPr="00DE7A42">
        <w:rPr>
          <w:vertAlign w:val="superscript"/>
          <w:lang w:val="fr-FR"/>
        </w:rPr>
        <w:t>o</w:t>
      </w:r>
      <w:r w:rsidRPr="00DE7A42">
        <w:rPr>
          <w:lang w:val="fr-FR"/>
        </w:rPr>
        <w:t> 1376/2011, le requérant déposa</w:t>
      </w:r>
      <w:r w:rsidR="00335988" w:rsidRPr="00DE7A42">
        <w:rPr>
          <w:lang w:val="fr-FR"/>
        </w:rPr>
        <w:t xml:space="preserve">, </w:t>
      </w:r>
      <w:r w:rsidR="00B709DA" w:rsidRPr="00DE7A42">
        <w:rPr>
          <w:lang w:val="fr-FR"/>
        </w:rPr>
        <w:t>soit en vertu de</w:t>
      </w:r>
      <w:r w:rsidR="00335988" w:rsidRPr="00DE7A42">
        <w:rPr>
          <w:lang w:val="fr-FR"/>
        </w:rPr>
        <w:t xml:space="preserve"> </w:t>
      </w:r>
      <w:r w:rsidR="00B709DA" w:rsidRPr="00DE7A42">
        <w:rPr>
          <w:lang w:val="fr-FR"/>
        </w:rPr>
        <w:t>l</w:t>
      </w:r>
      <w:r w:rsidR="00DE7A42" w:rsidRPr="00DE7A42">
        <w:rPr>
          <w:lang w:val="fr-FR"/>
        </w:rPr>
        <w:t>’</w:t>
      </w:r>
      <w:r w:rsidR="00335988" w:rsidRPr="00DE7A42">
        <w:rPr>
          <w:lang w:val="fr-FR"/>
        </w:rPr>
        <w:t>article 950 § 2 du code de procédure civile</w:t>
      </w:r>
      <w:r w:rsidR="00B709DA" w:rsidRPr="00DE7A42">
        <w:rPr>
          <w:lang w:val="fr-FR"/>
        </w:rPr>
        <w:t>, soit en vertu de l</w:t>
      </w:r>
      <w:r w:rsidR="00DE7A42" w:rsidRPr="00DE7A42">
        <w:rPr>
          <w:lang w:val="fr-FR"/>
        </w:rPr>
        <w:t>’</w:t>
      </w:r>
      <w:r w:rsidR="00B709DA" w:rsidRPr="00DE7A42">
        <w:rPr>
          <w:lang w:val="fr-FR"/>
        </w:rPr>
        <w:t xml:space="preserve">article </w:t>
      </w:r>
      <w:r w:rsidR="00335988" w:rsidRPr="00DE7A42">
        <w:rPr>
          <w:lang w:val="fr-FR"/>
        </w:rPr>
        <w:t xml:space="preserve">232A du code pénal, </w:t>
      </w:r>
      <w:r w:rsidRPr="00DE7A42">
        <w:rPr>
          <w:lang w:val="fr-FR"/>
        </w:rPr>
        <w:t xml:space="preserve">plusieurs </w:t>
      </w:r>
      <w:r w:rsidR="005C0897" w:rsidRPr="00DE7A42">
        <w:rPr>
          <w:lang w:val="fr-FR"/>
        </w:rPr>
        <w:t>actions ou plaintes (en se constituant partie civile)</w:t>
      </w:r>
      <w:r w:rsidR="00E256D8" w:rsidRPr="00DE7A42">
        <w:rPr>
          <w:lang w:val="fr-FR"/>
        </w:rPr>
        <w:t xml:space="preserve"> </w:t>
      </w:r>
      <w:r w:rsidRPr="00DE7A42">
        <w:rPr>
          <w:lang w:val="fr-FR"/>
        </w:rPr>
        <w:t>devant le tribunal de première instance d</w:t>
      </w:r>
      <w:r w:rsidR="00DE7A42" w:rsidRPr="00DE7A42">
        <w:rPr>
          <w:lang w:val="fr-FR"/>
        </w:rPr>
        <w:t>’</w:t>
      </w:r>
      <w:r w:rsidRPr="00DE7A42">
        <w:rPr>
          <w:lang w:val="fr-FR"/>
        </w:rPr>
        <w:t>Athènes : les 18 et 28 février 2011, les 4, 17, 18 et 28 mars 2011, le 12 avril 2011, le 9 mai 2011, le 30 juin 2011 et le 10 octobre 2011. Toutes les audiences furent fixées à diverses dates</w:t>
      </w:r>
      <w:r w:rsidR="00EC5FF4" w:rsidRPr="00DE7A42">
        <w:rPr>
          <w:lang w:val="fr-FR"/>
        </w:rPr>
        <w:t xml:space="preserve"> en 2013 et 2014 </w:t>
      </w:r>
      <w:r w:rsidR="002379A3" w:rsidRPr="00DE7A42">
        <w:rPr>
          <w:lang w:val="fr-FR"/>
        </w:rPr>
        <w:t xml:space="preserve">mais </w:t>
      </w:r>
      <w:r w:rsidR="00EC5FF4" w:rsidRPr="00DE7A42">
        <w:rPr>
          <w:lang w:val="fr-FR"/>
        </w:rPr>
        <w:t>à ces dates les procédures furent annulées à la demande du requérant qui déclara qu</w:t>
      </w:r>
      <w:r w:rsidR="00DE7A42" w:rsidRPr="00DE7A42">
        <w:rPr>
          <w:lang w:val="fr-FR"/>
        </w:rPr>
        <w:t>’</w:t>
      </w:r>
      <w:r w:rsidR="00EC5FF4" w:rsidRPr="00DE7A42">
        <w:rPr>
          <w:lang w:val="fr-FR"/>
        </w:rPr>
        <w:t>il ne souhaitait voir la mère de ses enfants sanctionnée</w:t>
      </w:r>
      <w:r w:rsidR="005C0897" w:rsidRPr="00DE7A42">
        <w:rPr>
          <w:lang w:val="fr-FR"/>
        </w:rPr>
        <w:t xml:space="preserve"> par l</w:t>
      </w:r>
      <w:r w:rsidR="00DE7A42" w:rsidRPr="00DE7A42">
        <w:rPr>
          <w:lang w:val="fr-FR"/>
        </w:rPr>
        <w:t>’</w:t>
      </w:r>
      <w:r w:rsidR="005C0897" w:rsidRPr="00DE7A42">
        <w:rPr>
          <w:lang w:val="fr-FR"/>
        </w:rPr>
        <w:t>une des peines prévues par les articles 950 § 2 du code de procédure civile ou 232A du code pénal</w:t>
      </w:r>
      <w:r w:rsidR="00EC5FF4" w:rsidRPr="00DE7A42">
        <w:rPr>
          <w:lang w:val="fr-FR"/>
        </w:rPr>
        <w:t>.</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22</w:t>
      </w:r>
      <w:r w:rsidRPr="00DE7A42">
        <w:rPr>
          <w:lang w:val="fr-FR"/>
        </w:rPr>
        <w:fldChar w:fldCharType="end"/>
      </w:r>
      <w:r w:rsidRPr="00DE7A42">
        <w:rPr>
          <w:lang w:val="fr-FR"/>
        </w:rPr>
        <w:t>.  Le 3 février 2011, le requérant déposa une demande de divorce devant le tribunal de première instance d</w:t>
      </w:r>
      <w:r w:rsidR="00DE7A42" w:rsidRPr="00DE7A42">
        <w:rPr>
          <w:lang w:val="fr-FR"/>
        </w:rPr>
        <w:t>’</w:t>
      </w:r>
      <w:r w:rsidRPr="00DE7A42">
        <w:rPr>
          <w:lang w:val="fr-FR"/>
        </w:rPr>
        <w:t>Ath</w:t>
      </w:r>
      <w:r w:rsidR="00AE680A" w:rsidRPr="00DE7A42">
        <w:rPr>
          <w:lang w:val="fr-FR"/>
        </w:rPr>
        <w:t>ènes. L</w:t>
      </w:r>
      <w:r w:rsidR="00DE7A42" w:rsidRPr="00DE7A42">
        <w:rPr>
          <w:lang w:val="fr-FR"/>
        </w:rPr>
        <w:t>’</w:t>
      </w:r>
      <w:r w:rsidR="00AE680A" w:rsidRPr="00DE7A42">
        <w:rPr>
          <w:lang w:val="fr-FR"/>
        </w:rPr>
        <w:t>audience fut fixée au 5 </w:t>
      </w:r>
      <w:r w:rsidRPr="00DE7A42">
        <w:rPr>
          <w:lang w:val="fr-FR"/>
        </w:rPr>
        <w:t>mars 2012.</w:t>
      </w:r>
      <w:r w:rsidR="00CB400E" w:rsidRPr="00DE7A42">
        <w:rPr>
          <w:lang w:val="fr-FR"/>
        </w:rPr>
        <w:t xml:space="preserve"> Les parties ne fournissent pas d</w:t>
      </w:r>
      <w:r w:rsidR="00DE7A42" w:rsidRPr="00DE7A42">
        <w:rPr>
          <w:lang w:val="fr-FR"/>
        </w:rPr>
        <w:t>’</w:t>
      </w:r>
      <w:r w:rsidR="00CB400E" w:rsidRPr="00DE7A42">
        <w:rPr>
          <w:lang w:val="fr-FR"/>
        </w:rPr>
        <w:t>information quant à l</w:t>
      </w:r>
      <w:r w:rsidR="00DE7A42" w:rsidRPr="00DE7A42">
        <w:rPr>
          <w:lang w:val="fr-FR"/>
        </w:rPr>
        <w:t>’</w:t>
      </w:r>
      <w:r w:rsidR="00CB400E" w:rsidRPr="00DE7A42">
        <w:rPr>
          <w:lang w:val="fr-FR"/>
        </w:rPr>
        <w:t>issue de cette procédure.</w:t>
      </w:r>
    </w:p>
    <w:p w:rsidR="00DE7A42" w:rsidRPr="00DE7A42" w:rsidRDefault="00FC2435" w:rsidP="00DE7A42">
      <w:pPr>
        <w:pStyle w:val="ECHRHeading2"/>
        <w:rPr>
          <w:lang w:val="fr-FR"/>
        </w:rPr>
      </w:pPr>
      <w:r w:rsidRPr="00DE7A42">
        <w:rPr>
          <w:lang w:val="fr-FR"/>
        </w:rPr>
        <w:t>C.</w:t>
      </w:r>
      <w:r w:rsidR="00647B4F" w:rsidRPr="00DE7A42">
        <w:rPr>
          <w:lang w:val="fr-FR"/>
        </w:rPr>
        <w:t>  L</w:t>
      </w:r>
      <w:r w:rsidR="00DE7A42" w:rsidRPr="00DE7A42">
        <w:rPr>
          <w:lang w:val="fr-FR"/>
        </w:rPr>
        <w:t>’</w:t>
      </w:r>
      <w:r w:rsidR="00647B4F" w:rsidRPr="00DE7A42">
        <w:rPr>
          <w:lang w:val="fr-FR"/>
        </w:rPr>
        <w:t>intervention</w:t>
      </w:r>
      <w:r w:rsidRPr="00DE7A42">
        <w:rPr>
          <w:lang w:val="fr-FR"/>
        </w:rPr>
        <w:t xml:space="preserve"> </w:t>
      </w:r>
      <w:r w:rsidR="00647B4F" w:rsidRPr="00DE7A42">
        <w:rPr>
          <w:lang w:val="fr-FR"/>
        </w:rPr>
        <w:t>d</w:t>
      </w:r>
      <w:r w:rsidRPr="00DE7A42">
        <w:rPr>
          <w:lang w:val="fr-FR"/>
        </w:rPr>
        <w:t>es pédopsychiatres de la Sécurité Sociale (IKA)</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23</w:t>
      </w:r>
      <w:r w:rsidRPr="00DE7A42">
        <w:rPr>
          <w:lang w:val="fr-FR"/>
        </w:rPr>
        <w:fldChar w:fldCharType="end"/>
      </w:r>
      <w:r w:rsidRPr="00DE7A42">
        <w:rPr>
          <w:lang w:val="fr-FR"/>
        </w:rPr>
        <w:t>.  I.P. saisit le Centre de santé pédopsychiatrique de la Sécurité Sociale dans le but d</w:t>
      </w:r>
      <w:r w:rsidR="00DE7A42" w:rsidRPr="00DE7A42">
        <w:rPr>
          <w:lang w:val="fr-FR"/>
        </w:rPr>
        <w:t>’</w:t>
      </w:r>
      <w:r w:rsidRPr="00DE7A42">
        <w:rPr>
          <w:lang w:val="fr-FR"/>
        </w:rPr>
        <w:t xml:space="preserve">obtenir un avis psychiatrique et </w:t>
      </w:r>
      <w:r w:rsidR="00512F5E" w:rsidRPr="00DE7A42">
        <w:rPr>
          <w:lang w:val="fr-FR"/>
        </w:rPr>
        <w:t>obtenir l</w:t>
      </w:r>
      <w:r w:rsidR="00DE7A42" w:rsidRPr="00DE7A42">
        <w:rPr>
          <w:lang w:val="fr-FR"/>
        </w:rPr>
        <w:t>’</w:t>
      </w:r>
      <w:r w:rsidR="00512F5E" w:rsidRPr="00DE7A42">
        <w:rPr>
          <w:lang w:val="fr-FR"/>
        </w:rPr>
        <w:t>interdiction d</w:t>
      </w:r>
      <w:r w:rsidRPr="00DE7A42">
        <w:rPr>
          <w:lang w:val="fr-FR"/>
        </w:rPr>
        <w:t xml:space="preserve">u requérant </w:t>
      </w:r>
      <w:r w:rsidR="00512F5E" w:rsidRPr="00DE7A42">
        <w:rPr>
          <w:lang w:val="fr-FR"/>
        </w:rPr>
        <w:t xml:space="preserve">à voir ses </w:t>
      </w:r>
      <w:r w:rsidRPr="00DE7A42">
        <w:rPr>
          <w:lang w:val="fr-FR"/>
        </w:rPr>
        <w:t>enfants. Toutefois, les pédopsychiatres du Centre refusèrent d</w:t>
      </w:r>
      <w:r w:rsidR="00DE7A42" w:rsidRPr="00DE7A42">
        <w:rPr>
          <w:lang w:val="fr-FR"/>
        </w:rPr>
        <w:t>’</w:t>
      </w:r>
      <w:r w:rsidRPr="00DE7A42">
        <w:rPr>
          <w:lang w:val="fr-FR"/>
        </w:rPr>
        <w:t>émettre un tel avis.</w:t>
      </w:r>
    </w:p>
    <w:p w:rsidR="00DE7A42"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24</w:t>
      </w:r>
      <w:r w:rsidRPr="00DE7A42">
        <w:rPr>
          <w:lang w:val="fr-FR"/>
        </w:rPr>
        <w:fldChar w:fldCharType="end"/>
      </w:r>
      <w:r w:rsidRPr="00DE7A42">
        <w:rPr>
          <w:lang w:val="fr-FR"/>
        </w:rPr>
        <w:t>.  Le 6 septembre 2011, le requérant invita le procureur compétent à demander au Centre de santé pédopsychiatrique de fournir copie du dossier concernant les examens des enfants, afin qu</w:t>
      </w:r>
      <w:r w:rsidR="00DE7A42" w:rsidRPr="00DE7A42">
        <w:rPr>
          <w:lang w:val="fr-FR"/>
        </w:rPr>
        <w:t>’</w:t>
      </w:r>
      <w:r w:rsidRPr="00DE7A42">
        <w:rPr>
          <w:lang w:val="fr-FR"/>
        </w:rPr>
        <w:t>il puisse les produire devant les tribunaux. Toutefois, par une lettre du 23 septembre 2011, le Centre refusa de fournir le dossier jusqu</w:t>
      </w:r>
      <w:r w:rsidR="00DE7A42" w:rsidRPr="00DE7A42">
        <w:rPr>
          <w:lang w:val="fr-FR"/>
        </w:rPr>
        <w:t>’</w:t>
      </w:r>
      <w:r w:rsidRPr="00DE7A42">
        <w:rPr>
          <w:lang w:val="fr-FR"/>
        </w:rPr>
        <w:t xml:space="preserve">à ce que le procureur se prononce à nouveau sur la nécessité de le </w:t>
      </w:r>
      <w:r w:rsidR="00512F5E" w:rsidRPr="00DE7A42">
        <w:rPr>
          <w:lang w:val="fr-FR"/>
        </w:rPr>
        <w:t>faire</w:t>
      </w:r>
      <w:r w:rsidRPr="00DE7A42">
        <w:rPr>
          <w:lang w:val="fr-FR"/>
        </w:rPr>
        <w:t>.</w:t>
      </w:r>
    </w:p>
    <w:p w:rsidR="00127651" w:rsidRPr="00DE7A42" w:rsidRDefault="00127651"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25</w:t>
      </w:r>
      <w:r w:rsidRPr="00DE7A42">
        <w:rPr>
          <w:lang w:val="fr-FR"/>
        </w:rPr>
        <w:fldChar w:fldCharType="end"/>
      </w:r>
      <w:r w:rsidRPr="00DE7A42">
        <w:rPr>
          <w:lang w:val="fr-FR"/>
        </w:rPr>
        <w:t>.  Dans un rapport n</w:t>
      </w:r>
      <w:r w:rsidR="004831D1" w:rsidRPr="00DE7A42">
        <w:rPr>
          <w:vertAlign w:val="superscript"/>
          <w:lang w:val="fr-FR"/>
        </w:rPr>
        <w:t>o</w:t>
      </w:r>
      <w:r w:rsidRPr="00DE7A42">
        <w:rPr>
          <w:lang w:val="fr-FR"/>
        </w:rPr>
        <w:t xml:space="preserve"> 297 du 5 mars 2012, et dans ses conclusion</w:t>
      </w:r>
      <w:r w:rsidR="000F6439" w:rsidRPr="00DE7A42">
        <w:rPr>
          <w:lang w:val="fr-FR"/>
        </w:rPr>
        <w:t>s,</w:t>
      </w:r>
      <w:r w:rsidR="00647B4F" w:rsidRPr="00DE7A42">
        <w:rPr>
          <w:lang w:val="fr-FR"/>
        </w:rPr>
        <w:t xml:space="preserve"> le</w:t>
      </w:r>
      <w:r w:rsidRPr="00DE7A42">
        <w:rPr>
          <w:lang w:val="fr-FR"/>
        </w:rPr>
        <w:t xml:space="preserve"> Centre recommanda que les contacts entre les enfants et les deux parents se poursuivent et qu</w:t>
      </w:r>
      <w:r w:rsidR="00DE7A42" w:rsidRPr="00DE7A42">
        <w:rPr>
          <w:lang w:val="fr-FR"/>
        </w:rPr>
        <w:t>’</w:t>
      </w:r>
      <w:r w:rsidRPr="00DE7A42">
        <w:rPr>
          <w:lang w:val="fr-FR"/>
        </w:rPr>
        <w:t>en cas de refus d</w:t>
      </w:r>
      <w:r w:rsidR="00DE7A42" w:rsidRPr="00DE7A42">
        <w:rPr>
          <w:lang w:val="fr-FR"/>
        </w:rPr>
        <w:t>’</w:t>
      </w:r>
      <w:r w:rsidRPr="00DE7A42">
        <w:rPr>
          <w:lang w:val="fr-FR"/>
        </w:rPr>
        <w:t>un des enfants de co</w:t>
      </w:r>
      <w:r w:rsidR="000F6439" w:rsidRPr="00DE7A42">
        <w:rPr>
          <w:lang w:val="fr-FR"/>
        </w:rPr>
        <w:t>mmuniquer avec l</w:t>
      </w:r>
      <w:r w:rsidR="00DE7A42" w:rsidRPr="00DE7A42">
        <w:rPr>
          <w:lang w:val="fr-FR"/>
        </w:rPr>
        <w:t>’</w:t>
      </w:r>
      <w:r w:rsidR="000F6439" w:rsidRPr="00DE7A42">
        <w:rPr>
          <w:lang w:val="fr-FR"/>
        </w:rPr>
        <w:t>un des parents</w:t>
      </w:r>
      <w:r w:rsidRPr="00DE7A42">
        <w:rPr>
          <w:lang w:val="fr-FR"/>
        </w:rPr>
        <w:t>, cette communication devait être facilitée par la présence d</w:t>
      </w:r>
      <w:r w:rsidR="00DE7A42" w:rsidRPr="00DE7A42">
        <w:rPr>
          <w:lang w:val="fr-FR"/>
        </w:rPr>
        <w:t>’</w:t>
      </w:r>
      <w:r w:rsidRPr="00DE7A42">
        <w:rPr>
          <w:lang w:val="fr-FR"/>
        </w:rPr>
        <w:t>un spécialiste.</w:t>
      </w:r>
    </w:p>
    <w:p w:rsidR="00CB400E" w:rsidRPr="00DE7A42" w:rsidRDefault="00CB400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26</w:t>
      </w:r>
      <w:r w:rsidRPr="00DE7A42">
        <w:rPr>
          <w:lang w:val="fr-FR"/>
        </w:rPr>
        <w:fldChar w:fldCharType="end"/>
      </w:r>
      <w:r w:rsidR="00E407FD" w:rsidRPr="00DE7A42">
        <w:rPr>
          <w:lang w:val="fr-FR"/>
        </w:rPr>
        <w:t>.  </w:t>
      </w:r>
      <w:r w:rsidR="000F6439" w:rsidRPr="00DE7A42">
        <w:rPr>
          <w:lang w:val="fr-FR"/>
        </w:rPr>
        <w:t>Le Gouvernement souligne qu</w:t>
      </w:r>
      <w:r w:rsidR="00DE7A42" w:rsidRPr="00DE7A42">
        <w:rPr>
          <w:lang w:val="fr-FR"/>
        </w:rPr>
        <w:t>’</w:t>
      </w:r>
      <w:r w:rsidR="000F6439" w:rsidRPr="00DE7A42">
        <w:rPr>
          <w:lang w:val="fr-FR"/>
        </w:rPr>
        <w:t>il</w:t>
      </w:r>
      <w:r w:rsidRPr="00DE7A42">
        <w:rPr>
          <w:lang w:val="fr-FR"/>
        </w:rPr>
        <w:t xml:space="preserve"> ressort des rapports</w:t>
      </w:r>
      <w:r w:rsidR="000F6439" w:rsidRPr="00DE7A42">
        <w:rPr>
          <w:lang w:val="fr-FR"/>
        </w:rPr>
        <w:t xml:space="preserve"> </w:t>
      </w:r>
      <w:r w:rsidRPr="00DE7A42">
        <w:rPr>
          <w:lang w:val="fr-FR"/>
        </w:rPr>
        <w:t xml:space="preserve">établis par ce Centre et </w:t>
      </w:r>
      <w:r w:rsidR="000F6439" w:rsidRPr="00DE7A42">
        <w:rPr>
          <w:lang w:val="fr-FR"/>
        </w:rPr>
        <w:t>qu</w:t>
      </w:r>
      <w:r w:rsidR="00DE7A42" w:rsidRPr="00DE7A42">
        <w:rPr>
          <w:lang w:val="fr-FR"/>
        </w:rPr>
        <w:t>’</w:t>
      </w:r>
      <w:r w:rsidR="000F6439" w:rsidRPr="00DE7A42">
        <w:rPr>
          <w:lang w:val="fr-FR"/>
        </w:rPr>
        <w:t xml:space="preserve">il fournit lui-même à la Cour </w:t>
      </w:r>
      <w:r w:rsidRPr="00DE7A42">
        <w:rPr>
          <w:lang w:val="fr-FR"/>
        </w:rPr>
        <w:t>que le stress des enfants démontrait la grande tension régnant entre les parents. Les rapports indiquaient aussi que le requérant avait interrompu prématurément son traitement psychothérapeutique. Ils notaient aussi l</w:t>
      </w:r>
      <w:r w:rsidR="00DE7A42" w:rsidRPr="00DE7A42">
        <w:rPr>
          <w:lang w:val="fr-FR"/>
        </w:rPr>
        <w:t>’</w:t>
      </w:r>
      <w:r w:rsidRPr="00DE7A42">
        <w:rPr>
          <w:lang w:val="fr-FR"/>
        </w:rPr>
        <w:t xml:space="preserve">implication continue des enfants </w:t>
      </w:r>
      <w:r w:rsidR="00512F5E" w:rsidRPr="00DE7A42">
        <w:rPr>
          <w:lang w:val="fr-FR"/>
        </w:rPr>
        <w:t>dans</w:t>
      </w:r>
      <w:r w:rsidRPr="00DE7A42">
        <w:rPr>
          <w:lang w:val="fr-FR"/>
        </w:rPr>
        <w:t xml:space="preserve"> la relation conflictuelle des parents ainsi que le fort souhait exprimé par le fils de ne pas</w:t>
      </w:r>
      <w:r w:rsidR="002040BE" w:rsidRPr="00DE7A42">
        <w:rPr>
          <w:lang w:val="fr-FR"/>
        </w:rPr>
        <w:t xml:space="preserve"> communiquer avec le requérant.</w:t>
      </w:r>
    </w:p>
    <w:p w:rsidR="000F6439" w:rsidRPr="00DE7A42" w:rsidRDefault="000F6439"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27</w:t>
      </w:r>
      <w:r w:rsidRPr="00DE7A42">
        <w:rPr>
          <w:lang w:val="fr-FR"/>
        </w:rPr>
        <w:fldChar w:fldCharType="end"/>
      </w:r>
      <w:r w:rsidRPr="00DE7A42">
        <w:rPr>
          <w:lang w:val="fr-FR"/>
        </w:rPr>
        <w:t>.  De son côté, le requérant, souligne qu</w:t>
      </w:r>
      <w:r w:rsidR="00DE7A42" w:rsidRPr="00DE7A42">
        <w:rPr>
          <w:lang w:val="fr-FR"/>
        </w:rPr>
        <w:t>’</w:t>
      </w:r>
      <w:r w:rsidRPr="00DE7A42">
        <w:rPr>
          <w:lang w:val="fr-FR"/>
        </w:rPr>
        <w:t>il ressort du rapport n</w:t>
      </w:r>
      <w:r w:rsidR="004831D1" w:rsidRPr="00DE7A42">
        <w:rPr>
          <w:vertAlign w:val="superscript"/>
          <w:lang w:val="fr-FR"/>
        </w:rPr>
        <w:t>o</w:t>
      </w:r>
      <w:r w:rsidRPr="00DE7A42">
        <w:rPr>
          <w:lang w:val="fr-FR"/>
        </w:rPr>
        <w:t xml:space="preserve"> 297 précité, qu</w:t>
      </w:r>
      <w:r w:rsidR="00DE7A42" w:rsidRPr="00DE7A42">
        <w:rPr>
          <w:lang w:val="fr-FR"/>
        </w:rPr>
        <w:t>’</w:t>
      </w:r>
      <w:r w:rsidRPr="00DE7A42">
        <w:rPr>
          <w:lang w:val="fr-FR"/>
        </w:rPr>
        <w:t>il ne se vit proposer aucune solution à part une assistance psychologique pour faire face au refus de ses enfants de le rencontrer. Il en ressort aussi que ses enfant se référaient à lui non en tant que père mais en le désignant par son prénom et qu</w:t>
      </w:r>
      <w:r w:rsidR="00DE7A42" w:rsidRPr="00DE7A42">
        <w:rPr>
          <w:lang w:val="fr-FR"/>
        </w:rPr>
        <w:t>’</w:t>
      </w:r>
      <w:r w:rsidRPr="00DE7A42">
        <w:rPr>
          <w:lang w:val="fr-FR"/>
        </w:rPr>
        <w:t>ils l</w:t>
      </w:r>
      <w:r w:rsidR="00DE7A42" w:rsidRPr="00DE7A42">
        <w:rPr>
          <w:lang w:val="fr-FR"/>
        </w:rPr>
        <w:t>’</w:t>
      </w:r>
      <w:r w:rsidRPr="00DE7A42">
        <w:rPr>
          <w:lang w:val="fr-FR"/>
        </w:rPr>
        <w:t>accusaient d</w:t>
      </w:r>
      <w:r w:rsidR="00DE7A42" w:rsidRPr="00DE7A42">
        <w:rPr>
          <w:lang w:val="fr-FR"/>
        </w:rPr>
        <w:t>’</w:t>
      </w:r>
      <w:r w:rsidRPr="00DE7A42">
        <w:rPr>
          <w:lang w:val="fr-FR"/>
        </w:rPr>
        <w:t>être « sale », de « sentir mauvais » et d</w:t>
      </w:r>
      <w:r w:rsidR="00DE7A42" w:rsidRPr="00DE7A42">
        <w:rPr>
          <w:lang w:val="fr-FR"/>
        </w:rPr>
        <w:t>’</w:t>
      </w:r>
      <w:r w:rsidRPr="00DE7A42">
        <w:rPr>
          <w:lang w:val="fr-FR"/>
        </w:rPr>
        <w:t>avoir « un cœur n</w:t>
      </w:r>
      <w:r w:rsidR="002040BE" w:rsidRPr="00DE7A42">
        <w:rPr>
          <w:lang w:val="fr-FR"/>
        </w:rPr>
        <w:t>oir » car il était « méchant ».</w:t>
      </w:r>
    </w:p>
    <w:p w:rsidR="00FC2435" w:rsidRPr="00DE7A42" w:rsidRDefault="00FC2435" w:rsidP="00DE7A42">
      <w:pPr>
        <w:pStyle w:val="ECHRHeading2"/>
        <w:rPr>
          <w:lang w:val="fr-FR"/>
        </w:rPr>
      </w:pPr>
      <w:r w:rsidRPr="00DE7A42">
        <w:rPr>
          <w:lang w:val="fr-FR"/>
        </w:rPr>
        <w:t>D.  La saisine du procureur chargé des mineurs</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28</w:t>
      </w:r>
      <w:r w:rsidRPr="00DE7A42">
        <w:rPr>
          <w:lang w:val="fr-FR"/>
        </w:rPr>
        <w:fldChar w:fldCharType="end"/>
      </w:r>
      <w:r w:rsidRPr="00DE7A42">
        <w:rPr>
          <w:lang w:val="fr-FR"/>
        </w:rPr>
        <w:t>.  Le 9 mars 2011, le requérant s</w:t>
      </w:r>
      <w:r w:rsidR="00DE7A42" w:rsidRPr="00DE7A42">
        <w:rPr>
          <w:lang w:val="fr-FR"/>
        </w:rPr>
        <w:t>’</w:t>
      </w:r>
      <w:r w:rsidRPr="00DE7A42">
        <w:rPr>
          <w:lang w:val="fr-FR"/>
        </w:rPr>
        <w:t>adressa au procureur d</w:t>
      </w:r>
      <w:r w:rsidR="00DE7A42" w:rsidRPr="00DE7A42">
        <w:rPr>
          <w:lang w:val="fr-FR"/>
        </w:rPr>
        <w:t>’</w:t>
      </w:r>
      <w:r w:rsidRPr="00DE7A42">
        <w:rPr>
          <w:lang w:val="fr-FR"/>
        </w:rPr>
        <w:t>Athènes compétent pour les mineurs. Il l</w:t>
      </w:r>
      <w:r w:rsidR="00DE7A42" w:rsidRPr="00DE7A42">
        <w:rPr>
          <w:lang w:val="fr-FR"/>
        </w:rPr>
        <w:t>’</w:t>
      </w:r>
      <w:r w:rsidRPr="00DE7A42">
        <w:rPr>
          <w:lang w:val="fr-FR"/>
        </w:rPr>
        <w:t xml:space="preserve">invitait à prendre, en application de </w:t>
      </w:r>
      <w:r w:rsidR="002D4C37" w:rsidRPr="00DE7A42">
        <w:rPr>
          <w:lang w:val="fr-FR"/>
        </w:rPr>
        <w:t>l</w:t>
      </w:r>
      <w:r w:rsidR="00DE7A42" w:rsidRPr="00DE7A42">
        <w:rPr>
          <w:lang w:val="fr-FR"/>
        </w:rPr>
        <w:t>’</w:t>
      </w:r>
      <w:r w:rsidR="002D4C37" w:rsidRPr="00DE7A42">
        <w:rPr>
          <w:lang w:val="fr-FR"/>
        </w:rPr>
        <w:t>article 1532 § 3</w:t>
      </w:r>
      <w:r w:rsidR="00A860CA" w:rsidRPr="00DE7A42">
        <w:rPr>
          <w:lang w:val="fr-FR"/>
        </w:rPr>
        <w:t xml:space="preserve"> </w:t>
      </w:r>
      <w:r w:rsidRPr="00DE7A42">
        <w:rPr>
          <w:lang w:val="fr-FR"/>
        </w:rPr>
        <w:t>du code civil, toute mesure nécessaire pour préserver l</w:t>
      </w:r>
      <w:r w:rsidR="00DE7A42" w:rsidRPr="00DE7A42">
        <w:rPr>
          <w:lang w:val="fr-FR"/>
        </w:rPr>
        <w:t>’</w:t>
      </w:r>
      <w:r w:rsidRPr="00DE7A42">
        <w:rPr>
          <w:lang w:val="fr-FR"/>
        </w:rPr>
        <w:t>intérêt des enfants et sa relation avec ceux-ci.</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29</w:t>
      </w:r>
      <w:r w:rsidRPr="00DE7A42">
        <w:rPr>
          <w:lang w:val="fr-FR"/>
        </w:rPr>
        <w:fldChar w:fldCharType="end"/>
      </w:r>
      <w:r w:rsidRPr="00DE7A42">
        <w:rPr>
          <w:lang w:val="fr-FR"/>
        </w:rPr>
        <w:t xml:space="preserve">.  Le procureur ordonna une enquête sociale auprès </w:t>
      </w:r>
      <w:r w:rsidR="005F74EA" w:rsidRPr="00DE7A42">
        <w:rPr>
          <w:lang w:val="fr-FR"/>
        </w:rPr>
        <w:t xml:space="preserve">du service </w:t>
      </w:r>
      <w:r w:rsidRPr="00DE7A42">
        <w:rPr>
          <w:lang w:val="fr-FR"/>
        </w:rPr>
        <w:t>de l</w:t>
      </w:r>
      <w:r w:rsidR="00DE7A42" w:rsidRPr="00DE7A42">
        <w:rPr>
          <w:lang w:val="fr-FR"/>
        </w:rPr>
        <w:t>’</w:t>
      </w:r>
      <w:r w:rsidRPr="00DE7A42">
        <w:rPr>
          <w:lang w:val="fr-FR"/>
        </w:rPr>
        <w:t>assistante sociale de Nea Philadelphia.</w:t>
      </w:r>
      <w:r w:rsidR="005F74EA" w:rsidRPr="00DE7A42">
        <w:rPr>
          <w:lang w:val="fr-FR"/>
        </w:rPr>
        <w:t xml:space="preserve"> L</w:t>
      </w:r>
      <w:r w:rsidR="00DE7A42" w:rsidRPr="00DE7A42">
        <w:rPr>
          <w:lang w:val="fr-FR"/>
        </w:rPr>
        <w:t>’</w:t>
      </w:r>
      <w:r w:rsidR="005F74EA" w:rsidRPr="00DE7A42">
        <w:rPr>
          <w:lang w:val="fr-FR"/>
        </w:rPr>
        <w:t>assistante sociale se rendit au domicile d</w:t>
      </w:r>
      <w:r w:rsidR="00DE7A42" w:rsidRPr="00DE7A42">
        <w:rPr>
          <w:lang w:val="fr-FR"/>
        </w:rPr>
        <w:t>’</w:t>
      </w:r>
      <w:r w:rsidR="005F74EA" w:rsidRPr="00DE7A42">
        <w:rPr>
          <w:lang w:val="fr-FR"/>
        </w:rPr>
        <w:t>I.P. à quatre reprises : les 12, 14 et 25 juillet 2011 et le 3 août 2011. Elle</w:t>
      </w:r>
      <w:r w:rsidRPr="00DE7A42">
        <w:rPr>
          <w:lang w:val="fr-FR"/>
        </w:rPr>
        <w:t xml:space="preserve"> rédigea trois rapports </w:t>
      </w:r>
      <w:r w:rsidR="00FD0A5D" w:rsidRPr="00DE7A42">
        <w:rPr>
          <w:lang w:val="fr-FR"/>
        </w:rPr>
        <w:t>sur</w:t>
      </w:r>
      <w:r w:rsidRPr="00DE7A42">
        <w:rPr>
          <w:lang w:val="fr-FR"/>
        </w:rPr>
        <w:t xml:space="preserve"> une période de cinq mois qu</w:t>
      </w:r>
      <w:r w:rsidR="00DE7A42" w:rsidRPr="00DE7A42">
        <w:rPr>
          <w:lang w:val="fr-FR"/>
        </w:rPr>
        <w:t>’</w:t>
      </w:r>
      <w:r w:rsidRPr="00DE7A42">
        <w:rPr>
          <w:lang w:val="fr-FR"/>
        </w:rPr>
        <w:t>elle envoya au procureur. Le requérant précise que jusqu</w:t>
      </w:r>
      <w:r w:rsidR="00DE7A42" w:rsidRPr="00DE7A42">
        <w:rPr>
          <w:lang w:val="fr-FR"/>
        </w:rPr>
        <w:t>’</w:t>
      </w:r>
      <w:r w:rsidRPr="00DE7A42">
        <w:rPr>
          <w:lang w:val="fr-FR"/>
        </w:rPr>
        <w:t>à la date de la saisine de la Cour, le procureur n</w:t>
      </w:r>
      <w:r w:rsidR="00DE7A42" w:rsidRPr="00DE7A42">
        <w:rPr>
          <w:lang w:val="fr-FR"/>
        </w:rPr>
        <w:t>’</w:t>
      </w:r>
      <w:r w:rsidRPr="00DE7A42">
        <w:rPr>
          <w:lang w:val="fr-FR"/>
        </w:rPr>
        <w:t xml:space="preserve">avait entrepris aucune </w:t>
      </w:r>
      <w:r w:rsidR="00D73886" w:rsidRPr="00DE7A42">
        <w:rPr>
          <w:lang w:val="fr-FR"/>
        </w:rPr>
        <w:t xml:space="preserve">autre </w:t>
      </w:r>
      <w:r w:rsidRPr="00DE7A42">
        <w:rPr>
          <w:lang w:val="fr-FR"/>
        </w:rPr>
        <w:t>démarche. Face au refus de l</w:t>
      </w:r>
      <w:r w:rsidR="00DE7A42" w:rsidRPr="00DE7A42">
        <w:rPr>
          <w:lang w:val="fr-FR"/>
        </w:rPr>
        <w:t>’</w:t>
      </w:r>
      <w:r w:rsidRPr="00DE7A42">
        <w:rPr>
          <w:lang w:val="fr-FR"/>
        </w:rPr>
        <w:t>assistante sociale de lui donner copie de ses rapports, le requérant s</w:t>
      </w:r>
      <w:r w:rsidR="00DE7A42" w:rsidRPr="00DE7A42">
        <w:rPr>
          <w:lang w:val="fr-FR"/>
        </w:rPr>
        <w:t>’</w:t>
      </w:r>
      <w:r w:rsidRPr="00DE7A42">
        <w:rPr>
          <w:lang w:val="fr-FR"/>
        </w:rPr>
        <w:t>adressa, le 7 septembre 2011, au procureur et l</w:t>
      </w:r>
      <w:r w:rsidR="00DE7A42" w:rsidRPr="00DE7A42">
        <w:rPr>
          <w:lang w:val="fr-FR"/>
        </w:rPr>
        <w:t>’</w:t>
      </w:r>
      <w:r w:rsidRPr="00DE7A42">
        <w:rPr>
          <w:lang w:val="fr-FR"/>
        </w:rPr>
        <w:t>invita à les lui fournir et à ordonner toute mesure propre à préserver ses contacts avec ses enfants. Par une lettre du 22 septembre 2011, le procureur refusa de lui transmettre copie des rapports.</w:t>
      </w:r>
    </w:p>
    <w:p w:rsidR="005F74EA" w:rsidRPr="00DE7A42" w:rsidRDefault="005F74EA"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30</w:t>
      </w:r>
      <w:r w:rsidRPr="00DE7A42">
        <w:rPr>
          <w:lang w:val="fr-FR"/>
        </w:rPr>
        <w:fldChar w:fldCharType="end"/>
      </w:r>
      <w:r w:rsidRPr="00DE7A42">
        <w:rPr>
          <w:lang w:val="fr-FR"/>
        </w:rPr>
        <w:t>.  Selon les informations fournies par le Gouvernement, il ressort de ces rapports que l</w:t>
      </w:r>
      <w:r w:rsidR="00DE7A42" w:rsidRPr="00DE7A42">
        <w:rPr>
          <w:lang w:val="fr-FR"/>
        </w:rPr>
        <w:t>’</w:t>
      </w:r>
      <w:r w:rsidRPr="00DE7A42">
        <w:rPr>
          <w:lang w:val="fr-FR"/>
        </w:rPr>
        <w:t xml:space="preserve">assistante sociale procéda à une enquête de proximité et rencontra aussi le requérant, I.P. et le fils de celle-ci </w:t>
      </w:r>
      <w:r w:rsidR="002040BE" w:rsidRPr="00DE7A42">
        <w:rPr>
          <w:lang w:val="fr-FR"/>
        </w:rPr>
        <w:t xml:space="preserve">né </w:t>
      </w:r>
      <w:r w:rsidRPr="00DE7A42">
        <w:rPr>
          <w:lang w:val="fr-FR"/>
        </w:rPr>
        <w:t>d</w:t>
      </w:r>
      <w:r w:rsidR="00DE7A42" w:rsidRPr="00DE7A42">
        <w:rPr>
          <w:lang w:val="fr-FR"/>
        </w:rPr>
        <w:t>’</w:t>
      </w:r>
      <w:r w:rsidRPr="00DE7A42">
        <w:rPr>
          <w:lang w:val="fr-FR"/>
        </w:rPr>
        <w:t xml:space="preserve">un autre mariage. </w:t>
      </w:r>
      <w:r w:rsidR="003845E7" w:rsidRPr="00DE7A42">
        <w:rPr>
          <w:lang w:val="fr-FR"/>
        </w:rPr>
        <w:t>L</w:t>
      </w:r>
      <w:r w:rsidR="00DE7A42" w:rsidRPr="00DE7A42">
        <w:rPr>
          <w:lang w:val="fr-FR"/>
        </w:rPr>
        <w:t>’</w:t>
      </w:r>
      <w:r w:rsidR="003845E7" w:rsidRPr="00DE7A42">
        <w:rPr>
          <w:lang w:val="fr-FR"/>
        </w:rPr>
        <w:t xml:space="preserve">assistance sociale soulignait le refus des enfants de communiquer avec le requérant et attribua ce refus à la confrontation violente entre les parents pendant la procédure de divorce et à un transfert conscient ou inconscient du conflit aux enfants. Le </w:t>
      </w:r>
      <w:r w:rsidR="00C67497" w:rsidRPr="00DE7A42">
        <w:rPr>
          <w:lang w:val="fr-FR"/>
        </w:rPr>
        <w:t>demi-</w:t>
      </w:r>
      <w:r w:rsidR="003845E7" w:rsidRPr="00DE7A42">
        <w:rPr>
          <w:lang w:val="fr-FR"/>
        </w:rPr>
        <w:t xml:space="preserve">frère </w:t>
      </w:r>
      <w:r w:rsidR="00C67497" w:rsidRPr="00DE7A42">
        <w:rPr>
          <w:lang w:val="fr-FR"/>
        </w:rPr>
        <w:t>des enfants (âgé à l</w:t>
      </w:r>
      <w:r w:rsidR="00DE7A42" w:rsidRPr="00DE7A42">
        <w:rPr>
          <w:lang w:val="fr-FR"/>
        </w:rPr>
        <w:t>’</w:t>
      </w:r>
      <w:r w:rsidR="00C67497" w:rsidRPr="00DE7A42">
        <w:rPr>
          <w:lang w:val="fr-FR"/>
        </w:rPr>
        <w:t>époque de seize ans) attribua au requérant les mauvaises relations des enfants avec leur père. L</w:t>
      </w:r>
      <w:r w:rsidR="00DE7A42" w:rsidRPr="00DE7A42">
        <w:rPr>
          <w:lang w:val="fr-FR"/>
        </w:rPr>
        <w:t>’</w:t>
      </w:r>
      <w:r w:rsidR="00C67497" w:rsidRPr="00DE7A42">
        <w:rPr>
          <w:lang w:val="fr-FR"/>
        </w:rPr>
        <w:t>assistante sociale r</w:t>
      </w:r>
      <w:r w:rsidR="00FD0A5D" w:rsidRPr="00DE7A42">
        <w:rPr>
          <w:lang w:val="fr-FR"/>
        </w:rPr>
        <w:t xml:space="preserve">ecommandait aux deux parents une thérapie </w:t>
      </w:r>
      <w:r w:rsidR="00C67497" w:rsidRPr="00DE7A42">
        <w:rPr>
          <w:lang w:val="fr-FR"/>
        </w:rPr>
        <w:t>psychologique dans le but d</w:t>
      </w:r>
      <w:r w:rsidR="00DE7A42" w:rsidRPr="00DE7A42">
        <w:rPr>
          <w:lang w:val="fr-FR"/>
        </w:rPr>
        <w:t>’</w:t>
      </w:r>
      <w:r w:rsidR="00C67497" w:rsidRPr="00DE7A42">
        <w:rPr>
          <w:lang w:val="fr-FR"/>
        </w:rPr>
        <w:t>apaiser les relations enfants-père.</w:t>
      </w:r>
    </w:p>
    <w:p w:rsidR="00DE7A42"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31</w:t>
      </w:r>
      <w:r w:rsidRPr="00DE7A42">
        <w:rPr>
          <w:lang w:val="fr-FR"/>
        </w:rPr>
        <w:fldChar w:fldCharType="end"/>
      </w:r>
      <w:r w:rsidRPr="00DE7A42">
        <w:rPr>
          <w:lang w:val="fr-FR"/>
        </w:rPr>
        <w:t xml:space="preserve">.  Le 10 avril 2012, le procureur convoqua le requérant et I.P. et les informa oralement du contenu des rapports. </w:t>
      </w:r>
      <w:r w:rsidR="00FD0A5D" w:rsidRPr="00DE7A42">
        <w:rPr>
          <w:lang w:val="fr-FR"/>
        </w:rPr>
        <w:t>Ces rapports</w:t>
      </w:r>
      <w:r w:rsidRPr="00DE7A42">
        <w:rPr>
          <w:lang w:val="fr-FR"/>
        </w:rPr>
        <w:t xml:space="preserve"> constataient que les enfants avaient une image négative de leur père et préconisaient des rencontres </w:t>
      </w:r>
      <w:r w:rsidR="00FD0A5D" w:rsidRPr="00DE7A42">
        <w:rPr>
          <w:lang w:val="fr-FR"/>
        </w:rPr>
        <w:t>père-enfants</w:t>
      </w:r>
      <w:r w:rsidRPr="00DE7A42">
        <w:rPr>
          <w:lang w:val="fr-FR"/>
        </w:rPr>
        <w:t>, assistés par des pédopsychiatres, dans le but de rétablir la communication.</w:t>
      </w:r>
    </w:p>
    <w:p w:rsidR="00DE7A42" w:rsidRPr="00DE7A42" w:rsidRDefault="0019022F" w:rsidP="00DE7A42">
      <w:pPr>
        <w:pStyle w:val="ECHRHeading2"/>
        <w:rPr>
          <w:lang w:val="fr-FR"/>
        </w:rPr>
      </w:pPr>
      <w:r w:rsidRPr="00DE7A42">
        <w:rPr>
          <w:lang w:val="fr-FR"/>
        </w:rPr>
        <w:t>E.  L</w:t>
      </w:r>
      <w:r w:rsidR="00DE7A42" w:rsidRPr="00DE7A42">
        <w:rPr>
          <w:lang w:val="fr-FR"/>
        </w:rPr>
        <w:t>’</w:t>
      </w:r>
      <w:r w:rsidRPr="00DE7A42">
        <w:rPr>
          <w:lang w:val="fr-FR"/>
        </w:rPr>
        <w:t>intervention de la pédopsychiatre M.T.</w:t>
      </w:r>
    </w:p>
    <w:p w:rsidR="00DE7A42" w:rsidRPr="00DE7A42" w:rsidRDefault="0019022F"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32</w:t>
      </w:r>
      <w:r w:rsidRPr="00DE7A42">
        <w:rPr>
          <w:lang w:val="fr-FR"/>
        </w:rPr>
        <w:fldChar w:fldCharType="end"/>
      </w:r>
      <w:r w:rsidRPr="00DE7A42">
        <w:rPr>
          <w:lang w:val="fr-FR"/>
        </w:rPr>
        <w:t>.  Le requérant souligne qu</w:t>
      </w:r>
      <w:r w:rsidR="00DE7A42" w:rsidRPr="00DE7A42">
        <w:rPr>
          <w:lang w:val="fr-FR"/>
        </w:rPr>
        <w:t>’</w:t>
      </w:r>
      <w:r w:rsidRPr="00DE7A42">
        <w:rPr>
          <w:lang w:val="fr-FR"/>
        </w:rPr>
        <w:t>à l</w:t>
      </w:r>
      <w:r w:rsidR="00DE7A42" w:rsidRPr="00DE7A42">
        <w:rPr>
          <w:lang w:val="fr-FR"/>
        </w:rPr>
        <w:t>’</w:t>
      </w:r>
      <w:r w:rsidRPr="00DE7A42">
        <w:rPr>
          <w:lang w:val="fr-FR"/>
        </w:rPr>
        <w:t>approche de la période pendant laquelle il devait garder les enfants (du 1</w:t>
      </w:r>
      <w:r w:rsidRPr="00DE7A42">
        <w:rPr>
          <w:vertAlign w:val="superscript"/>
          <w:lang w:val="fr-FR"/>
        </w:rPr>
        <w:t>er</w:t>
      </w:r>
      <w:r w:rsidRPr="00DE7A42">
        <w:rPr>
          <w:lang w:val="fr-FR"/>
        </w:rPr>
        <w:t xml:space="preserve"> au 15 juillet 2011),</w:t>
      </w:r>
      <w:r w:rsidR="00736479" w:rsidRPr="00DE7A42">
        <w:rPr>
          <w:lang w:val="fr-FR"/>
        </w:rPr>
        <w:t xml:space="preserve"> conformément à la décision n</w:t>
      </w:r>
      <w:r w:rsidR="004831D1" w:rsidRPr="00DE7A42">
        <w:rPr>
          <w:vertAlign w:val="superscript"/>
          <w:lang w:val="fr-FR"/>
        </w:rPr>
        <w:t>o</w:t>
      </w:r>
      <w:r w:rsidR="00736479" w:rsidRPr="00DE7A42">
        <w:rPr>
          <w:lang w:val="fr-FR"/>
        </w:rPr>
        <w:t xml:space="preserve"> 137</w:t>
      </w:r>
      <w:r w:rsidRPr="00DE7A42">
        <w:rPr>
          <w:lang w:val="fr-FR"/>
        </w:rPr>
        <w:t xml:space="preserve">6/2011, I.P. </w:t>
      </w:r>
      <w:r w:rsidR="00A13556" w:rsidRPr="00DE7A42">
        <w:rPr>
          <w:lang w:val="fr-FR"/>
        </w:rPr>
        <w:t>consulta</w:t>
      </w:r>
      <w:r w:rsidR="00736479" w:rsidRPr="00DE7A42">
        <w:rPr>
          <w:lang w:val="fr-FR"/>
        </w:rPr>
        <w:t xml:space="preserve"> une pédopsychiatre</w:t>
      </w:r>
      <w:r w:rsidRPr="00DE7A42">
        <w:rPr>
          <w:lang w:val="fr-FR"/>
        </w:rPr>
        <w:t xml:space="preserve"> afin d</w:t>
      </w:r>
      <w:r w:rsidR="00DE7A42" w:rsidRPr="00DE7A42">
        <w:rPr>
          <w:lang w:val="fr-FR"/>
        </w:rPr>
        <w:t>’</w:t>
      </w:r>
      <w:r w:rsidRPr="00DE7A42">
        <w:rPr>
          <w:lang w:val="fr-FR"/>
        </w:rPr>
        <w:t xml:space="preserve">obtenir une </w:t>
      </w:r>
      <w:r w:rsidR="008457D9" w:rsidRPr="00DE7A42">
        <w:rPr>
          <w:lang w:val="fr-FR"/>
        </w:rPr>
        <w:t xml:space="preserve">attestation qui justifierait son refus de </w:t>
      </w:r>
      <w:r w:rsidR="00A13556" w:rsidRPr="00DE7A42">
        <w:rPr>
          <w:lang w:val="fr-FR"/>
        </w:rPr>
        <w:t>confier</w:t>
      </w:r>
      <w:r w:rsidR="008457D9" w:rsidRPr="00DE7A42">
        <w:rPr>
          <w:lang w:val="fr-FR"/>
        </w:rPr>
        <w:t xml:space="preserve"> les enfants à leur père. La pédopsychiatre refusa de </w:t>
      </w:r>
      <w:r w:rsidR="00A13556" w:rsidRPr="00DE7A42">
        <w:rPr>
          <w:lang w:val="fr-FR"/>
        </w:rPr>
        <w:t>faire</w:t>
      </w:r>
      <w:r w:rsidR="008457D9" w:rsidRPr="00DE7A42">
        <w:rPr>
          <w:lang w:val="fr-FR"/>
        </w:rPr>
        <w:t xml:space="preserve"> une telle attestation et demanda </w:t>
      </w:r>
      <w:r w:rsidR="00A13556" w:rsidRPr="00DE7A42">
        <w:rPr>
          <w:lang w:val="fr-FR"/>
        </w:rPr>
        <w:t>à</w:t>
      </w:r>
      <w:r w:rsidR="008457D9" w:rsidRPr="00DE7A42">
        <w:rPr>
          <w:lang w:val="fr-FR"/>
        </w:rPr>
        <w:t xml:space="preserve"> rencontrer le requérant. </w:t>
      </w:r>
      <w:r w:rsidR="007D56A8" w:rsidRPr="00DE7A42">
        <w:rPr>
          <w:lang w:val="fr-FR"/>
        </w:rPr>
        <w:t>Deux rencontres eurent alors lieu entre le requérant et ses enfants, pendant lesquelles le requérant put jouer avec ses enfants : la première à l</w:t>
      </w:r>
      <w:r w:rsidR="00DE7A42" w:rsidRPr="00DE7A42">
        <w:rPr>
          <w:lang w:val="fr-FR"/>
        </w:rPr>
        <w:t>’</w:t>
      </w:r>
      <w:r w:rsidR="007D56A8" w:rsidRPr="00DE7A42">
        <w:rPr>
          <w:lang w:val="fr-FR"/>
        </w:rPr>
        <w:t>entrée de l</w:t>
      </w:r>
      <w:r w:rsidR="00DE7A42" w:rsidRPr="00DE7A42">
        <w:rPr>
          <w:lang w:val="fr-FR"/>
        </w:rPr>
        <w:t>’</w:t>
      </w:r>
      <w:r w:rsidR="007D56A8" w:rsidRPr="00DE7A42">
        <w:rPr>
          <w:lang w:val="fr-FR"/>
        </w:rPr>
        <w:t>immeuble d</w:t>
      </w:r>
      <w:r w:rsidR="00DE7A42" w:rsidRPr="00DE7A42">
        <w:rPr>
          <w:lang w:val="fr-FR"/>
        </w:rPr>
        <w:t>’</w:t>
      </w:r>
      <w:r w:rsidR="007D56A8" w:rsidRPr="00DE7A42">
        <w:rPr>
          <w:lang w:val="fr-FR"/>
        </w:rPr>
        <w:t>I.P., la deuxième dans le bureau de M.T. Cette dernière déclara alors que</w:t>
      </w:r>
      <w:r w:rsidR="00923310" w:rsidRPr="00DE7A42">
        <w:rPr>
          <w:lang w:val="fr-FR"/>
        </w:rPr>
        <w:t xml:space="preserve"> quelques rencontres </w:t>
      </w:r>
      <w:r w:rsidR="00A13556" w:rsidRPr="00DE7A42">
        <w:rPr>
          <w:lang w:val="fr-FR"/>
        </w:rPr>
        <w:t>en sa présence</w:t>
      </w:r>
      <w:r w:rsidR="00923310" w:rsidRPr="00DE7A42">
        <w:rPr>
          <w:lang w:val="fr-FR"/>
        </w:rPr>
        <w:t xml:space="preserve"> lors de la première semaine de juillet permettraient aux enfants de </w:t>
      </w:r>
      <w:r w:rsidR="00A13556" w:rsidRPr="00DE7A42">
        <w:rPr>
          <w:lang w:val="fr-FR"/>
        </w:rPr>
        <w:t>dé</w:t>
      </w:r>
      <w:r w:rsidR="00923310" w:rsidRPr="00DE7A42">
        <w:rPr>
          <w:lang w:val="fr-FR"/>
        </w:rPr>
        <w:t xml:space="preserve">passer leurs </w:t>
      </w:r>
      <w:r w:rsidR="00A13556" w:rsidRPr="00DE7A42">
        <w:rPr>
          <w:lang w:val="fr-FR"/>
        </w:rPr>
        <w:t>anxiétés</w:t>
      </w:r>
      <w:r w:rsidR="00923310" w:rsidRPr="00DE7A42">
        <w:rPr>
          <w:lang w:val="fr-FR"/>
        </w:rPr>
        <w:t xml:space="preserve"> et </w:t>
      </w:r>
      <w:r w:rsidR="00A13556" w:rsidRPr="00DE7A42">
        <w:rPr>
          <w:lang w:val="fr-FR"/>
        </w:rPr>
        <w:t xml:space="preserve">de </w:t>
      </w:r>
      <w:r w:rsidR="00923310" w:rsidRPr="00DE7A42">
        <w:rPr>
          <w:lang w:val="fr-FR"/>
        </w:rPr>
        <w:t>suivre leur père sans problème lors de la deuxième semaine.</w:t>
      </w:r>
    </w:p>
    <w:p w:rsidR="0019022F" w:rsidRPr="00DE7A42" w:rsidRDefault="0092331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33</w:t>
      </w:r>
      <w:r w:rsidRPr="00DE7A42">
        <w:rPr>
          <w:lang w:val="fr-FR"/>
        </w:rPr>
        <w:fldChar w:fldCharType="end"/>
      </w:r>
      <w:r w:rsidRPr="00DE7A42">
        <w:rPr>
          <w:lang w:val="fr-FR"/>
        </w:rPr>
        <w:t>.  Toutefois, lorsque le requérant se présenta au domicile d</w:t>
      </w:r>
      <w:r w:rsidR="00DE7A42" w:rsidRPr="00DE7A42">
        <w:rPr>
          <w:lang w:val="fr-FR"/>
        </w:rPr>
        <w:t>’</w:t>
      </w:r>
      <w:r w:rsidRPr="00DE7A42">
        <w:rPr>
          <w:lang w:val="fr-FR"/>
        </w:rPr>
        <w:t>I.P le 1</w:t>
      </w:r>
      <w:r w:rsidRPr="00DE7A42">
        <w:rPr>
          <w:vertAlign w:val="superscript"/>
          <w:lang w:val="fr-FR"/>
        </w:rPr>
        <w:t>er</w:t>
      </w:r>
      <w:r w:rsidR="00A13556" w:rsidRPr="00DE7A42">
        <w:rPr>
          <w:lang w:val="fr-FR"/>
        </w:rPr>
        <w:t> </w:t>
      </w:r>
      <w:r w:rsidRPr="00DE7A42">
        <w:rPr>
          <w:lang w:val="fr-FR"/>
        </w:rPr>
        <w:t xml:space="preserve">juillet 2011 pour </w:t>
      </w:r>
      <w:r w:rsidR="00A13556" w:rsidRPr="00DE7A42">
        <w:rPr>
          <w:lang w:val="fr-FR"/>
        </w:rPr>
        <w:t xml:space="preserve">emmener </w:t>
      </w:r>
      <w:r w:rsidRPr="00DE7A42">
        <w:rPr>
          <w:lang w:val="fr-FR"/>
        </w:rPr>
        <w:t>les enfants, il n</w:t>
      </w:r>
      <w:r w:rsidR="00DE7A42" w:rsidRPr="00DE7A42">
        <w:rPr>
          <w:lang w:val="fr-FR"/>
        </w:rPr>
        <w:t>’</w:t>
      </w:r>
      <w:r w:rsidRPr="00DE7A42">
        <w:rPr>
          <w:lang w:val="fr-FR"/>
        </w:rPr>
        <w:t>y avait personne. Le requérant appela la police qui constata l</w:t>
      </w:r>
      <w:r w:rsidR="00DE7A42" w:rsidRPr="00DE7A42">
        <w:rPr>
          <w:lang w:val="fr-FR"/>
        </w:rPr>
        <w:t>’</w:t>
      </w:r>
      <w:r w:rsidRPr="00DE7A42">
        <w:rPr>
          <w:lang w:val="fr-FR"/>
        </w:rPr>
        <w:t>absence d</w:t>
      </w:r>
      <w:r w:rsidR="00DE7A42" w:rsidRPr="00DE7A42">
        <w:rPr>
          <w:lang w:val="fr-FR"/>
        </w:rPr>
        <w:t>’</w:t>
      </w:r>
      <w:r w:rsidRPr="00DE7A42">
        <w:rPr>
          <w:lang w:val="fr-FR"/>
        </w:rPr>
        <w:t>I.P. Depuis lors, I.P. interrompit toute collaboration avec la pédopsychiatre et évita tout contact</w:t>
      </w:r>
      <w:r w:rsidR="002040BE" w:rsidRPr="00DE7A42">
        <w:rPr>
          <w:lang w:val="fr-FR"/>
        </w:rPr>
        <w:t xml:space="preserve"> du requér</w:t>
      </w:r>
      <w:r w:rsidR="00A13556" w:rsidRPr="00DE7A42">
        <w:rPr>
          <w:lang w:val="fr-FR"/>
        </w:rPr>
        <w:t>a</w:t>
      </w:r>
      <w:r w:rsidR="002040BE" w:rsidRPr="00DE7A42">
        <w:rPr>
          <w:lang w:val="fr-FR"/>
        </w:rPr>
        <w:t>n</w:t>
      </w:r>
      <w:r w:rsidR="00A13556" w:rsidRPr="00DE7A42">
        <w:rPr>
          <w:lang w:val="fr-FR"/>
        </w:rPr>
        <w:t>t</w:t>
      </w:r>
      <w:r w:rsidRPr="00DE7A42">
        <w:rPr>
          <w:lang w:val="fr-FR"/>
        </w:rPr>
        <w:t xml:space="preserve">, même téléphonique, avec </w:t>
      </w:r>
      <w:r w:rsidR="00B51136" w:rsidRPr="00DE7A42">
        <w:rPr>
          <w:lang w:val="fr-FR"/>
        </w:rPr>
        <w:t>les enfants</w:t>
      </w:r>
      <w:r w:rsidRPr="00DE7A42">
        <w:rPr>
          <w:lang w:val="fr-FR"/>
        </w:rPr>
        <w:t>.</w:t>
      </w:r>
    </w:p>
    <w:p w:rsidR="00FC2435" w:rsidRPr="00DE7A42" w:rsidRDefault="001725A9" w:rsidP="00DE7A42">
      <w:pPr>
        <w:pStyle w:val="ECHRHeading2"/>
        <w:rPr>
          <w:lang w:val="fr-FR"/>
        </w:rPr>
      </w:pPr>
      <w:r w:rsidRPr="00DE7A42">
        <w:rPr>
          <w:lang w:val="fr-FR"/>
        </w:rPr>
        <w:t>F</w:t>
      </w:r>
      <w:r w:rsidR="00FC2435" w:rsidRPr="00DE7A42">
        <w:rPr>
          <w:lang w:val="fr-FR"/>
        </w:rPr>
        <w:t>.  La saisine du procureur près la Cour de cassation et du médiateur de la République</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34</w:t>
      </w:r>
      <w:r w:rsidRPr="00DE7A42">
        <w:rPr>
          <w:lang w:val="fr-FR"/>
        </w:rPr>
        <w:fldChar w:fldCharType="end"/>
      </w:r>
      <w:r w:rsidRPr="00DE7A42">
        <w:rPr>
          <w:lang w:val="fr-FR"/>
        </w:rPr>
        <w:t>.  Le 7 septembre 2011, le requérant se plaignit par une lettre adressée au procureur près la Cour de cassation de l</w:t>
      </w:r>
      <w:r w:rsidR="00DE7A42" w:rsidRPr="00DE7A42">
        <w:rPr>
          <w:lang w:val="fr-FR"/>
        </w:rPr>
        <w:t>’</w:t>
      </w:r>
      <w:r w:rsidRPr="00DE7A42">
        <w:rPr>
          <w:lang w:val="fr-FR"/>
        </w:rPr>
        <w:t>inactivité du procureur chargé des mineurs. Il se prévalait, entre autres, de l</w:t>
      </w:r>
      <w:r w:rsidR="00DE7A42" w:rsidRPr="00DE7A42">
        <w:rPr>
          <w:lang w:val="fr-FR"/>
        </w:rPr>
        <w:t>’</w:t>
      </w:r>
      <w:r w:rsidRPr="00DE7A42">
        <w:rPr>
          <w:lang w:val="fr-FR"/>
        </w:rPr>
        <w:t>arrêt de la Cour dans l</w:t>
      </w:r>
      <w:r w:rsidR="00DE7A42" w:rsidRPr="00DE7A42">
        <w:rPr>
          <w:lang w:val="fr-FR"/>
        </w:rPr>
        <w:t>’</w:t>
      </w:r>
      <w:r w:rsidRPr="00DE7A42">
        <w:rPr>
          <w:lang w:val="fr-FR"/>
        </w:rPr>
        <w:t xml:space="preserve">affaire </w:t>
      </w:r>
      <w:r w:rsidRPr="00DE7A42">
        <w:rPr>
          <w:i/>
          <w:lang w:val="fr-FR"/>
        </w:rPr>
        <w:t>Kosmopoulou c. Grèce</w:t>
      </w:r>
      <w:r w:rsidRPr="00DE7A42">
        <w:rPr>
          <w:lang w:val="fr-FR"/>
        </w:rPr>
        <w:t xml:space="preserve"> (60457/00, 5 février 2004) et soulignait que l</w:t>
      </w:r>
      <w:r w:rsidR="00DE7A42" w:rsidRPr="00DE7A42">
        <w:rPr>
          <w:lang w:val="fr-FR"/>
        </w:rPr>
        <w:t>’</w:t>
      </w:r>
      <w:r w:rsidRPr="00DE7A42">
        <w:rPr>
          <w:lang w:val="fr-FR"/>
        </w:rPr>
        <w:t>article 1532 du code civil devait être interprété en conformité avec l</w:t>
      </w:r>
      <w:r w:rsidR="00DE7A42" w:rsidRPr="00DE7A42">
        <w:rPr>
          <w:lang w:val="fr-FR"/>
        </w:rPr>
        <w:t>’</w:t>
      </w:r>
      <w:r w:rsidRPr="00DE7A42">
        <w:rPr>
          <w:lang w:val="fr-FR"/>
        </w:rPr>
        <w:t>article 8 de la Convention.</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35</w:t>
      </w:r>
      <w:r w:rsidRPr="00DE7A42">
        <w:rPr>
          <w:lang w:val="fr-FR"/>
        </w:rPr>
        <w:fldChar w:fldCharType="end"/>
      </w:r>
      <w:r w:rsidRPr="00DE7A42">
        <w:rPr>
          <w:lang w:val="fr-FR"/>
        </w:rPr>
        <w:t>.  Le requérant affirme que le procureur ne donna aucune suite à cette lettre.</w:t>
      </w:r>
    </w:p>
    <w:p w:rsidR="00FC2435" w:rsidRPr="00DE7A42" w:rsidRDefault="00FC2435"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36</w:t>
      </w:r>
      <w:r w:rsidRPr="00DE7A42">
        <w:rPr>
          <w:lang w:val="fr-FR"/>
        </w:rPr>
        <w:fldChar w:fldCharType="end"/>
      </w:r>
      <w:r w:rsidRPr="00DE7A42">
        <w:rPr>
          <w:lang w:val="fr-FR"/>
        </w:rPr>
        <w:t>.  Le 9 septembre 2011, le requérant écrivit au médiateur de la République en lui exposant l</w:t>
      </w:r>
      <w:r w:rsidR="00DE7A42" w:rsidRPr="00DE7A42">
        <w:rPr>
          <w:lang w:val="fr-FR"/>
        </w:rPr>
        <w:t>’</w:t>
      </w:r>
      <w:r w:rsidRPr="00DE7A42">
        <w:rPr>
          <w:lang w:val="fr-FR"/>
        </w:rPr>
        <w:t>historique de son cas</w:t>
      </w:r>
      <w:r w:rsidR="00CE19D4" w:rsidRPr="00DE7A42">
        <w:rPr>
          <w:lang w:val="fr-FR"/>
        </w:rPr>
        <w:t xml:space="preserve"> et en se plaignant de l</w:t>
      </w:r>
      <w:r w:rsidR="00DE7A42" w:rsidRPr="00DE7A42">
        <w:rPr>
          <w:lang w:val="fr-FR"/>
        </w:rPr>
        <w:t>’</w:t>
      </w:r>
      <w:r w:rsidR="00CE19D4" w:rsidRPr="00DE7A42">
        <w:rPr>
          <w:lang w:val="fr-FR"/>
        </w:rPr>
        <w:t>inadéquation de la législation pertinente dans le domaine du respect du droit de visite</w:t>
      </w:r>
      <w:r w:rsidRPr="00DE7A42">
        <w:rPr>
          <w:lang w:val="fr-FR"/>
        </w:rPr>
        <w:t>. Le 15 septembre 2011, ce dernier l</w:t>
      </w:r>
      <w:r w:rsidR="00DE7A42" w:rsidRPr="00DE7A42">
        <w:rPr>
          <w:lang w:val="fr-FR"/>
        </w:rPr>
        <w:t>’</w:t>
      </w:r>
      <w:r w:rsidRPr="00DE7A42">
        <w:rPr>
          <w:lang w:val="fr-FR"/>
        </w:rPr>
        <w:t>informa qu</w:t>
      </w:r>
      <w:r w:rsidR="00DE7A42" w:rsidRPr="00DE7A42">
        <w:rPr>
          <w:lang w:val="fr-FR"/>
        </w:rPr>
        <w:t>’</w:t>
      </w:r>
      <w:r w:rsidRPr="00DE7A42">
        <w:rPr>
          <w:lang w:val="fr-FR"/>
        </w:rPr>
        <w:t>il n</w:t>
      </w:r>
      <w:r w:rsidR="00DE7A42" w:rsidRPr="00DE7A42">
        <w:rPr>
          <w:lang w:val="fr-FR"/>
        </w:rPr>
        <w:t>’</w:t>
      </w:r>
      <w:r w:rsidRPr="00DE7A42">
        <w:rPr>
          <w:lang w:val="fr-FR"/>
        </w:rPr>
        <w:t>avait pas compétence pour traiter l</w:t>
      </w:r>
      <w:r w:rsidR="00DE7A42" w:rsidRPr="00DE7A42">
        <w:rPr>
          <w:lang w:val="fr-FR"/>
        </w:rPr>
        <w:t>’</w:t>
      </w:r>
      <w:r w:rsidRPr="00DE7A42">
        <w:rPr>
          <w:lang w:val="fr-FR"/>
        </w:rPr>
        <w:t>affaire</w:t>
      </w:r>
      <w:r w:rsidR="00CE19D4" w:rsidRPr="00DE7A42">
        <w:rPr>
          <w:lang w:val="fr-FR"/>
        </w:rPr>
        <w:t xml:space="preserve"> et lui recommanda de se mettre en contact avec des spécialistes de la santé psychique pour tenter de rétablir sa relation avec ses enfants.</w:t>
      </w:r>
    </w:p>
    <w:p w:rsidR="00FC2435" w:rsidRPr="00DE7A42" w:rsidRDefault="00C6028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37</w:t>
      </w:r>
      <w:r w:rsidRPr="00DE7A42">
        <w:rPr>
          <w:lang w:val="fr-FR"/>
        </w:rPr>
        <w:fldChar w:fldCharType="end"/>
      </w:r>
      <w:r w:rsidRPr="00DE7A42">
        <w:rPr>
          <w:lang w:val="fr-FR"/>
        </w:rPr>
        <w:t>.  </w:t>
      </w:r>
      <w:r w:rsidR="00FC2435" w:rsidRPr="00DE7A42">
        <w:rPr>
          <w:lang w:val="fr-FR"/>
        </w:rPr>
        <w:t>Le requérant soutient qu</w:t>
      </w:r>
      <w:r w:rsidR="00DE7A42" w:rsidRPr="00DE7A42">
        <w:rPr>
          <w:lang w:val="fr-FR"/>
        </w:rPr>
        <w:t>’</w:t>
      </w:r>
      <w:r w:rsidR="00FC2435" w:rsidRPr="00DE7A42">
        <w:rPr>
          <w:lang w:val="fr-FR"/>
        </w:rPr>
        <w:t>il n</w:t>
      </w:r>
      <w:r w:rsidR="00DE7A42" w:rsidRPr="00DE7A42">
        <w:rPr>
          <w:lang w:val="fr-FR"/>
        </w:rPr>
        <w:t>’</w:t>
      </w:r>
      <w:r w:rsidR="00FC2435" w:rsidRPr="00DE7A42">
        <w:rPr>
          <w:lang w:val="fr-FR"/>
        </w:rPr>
        <w:t>a plus vu ses enfants depuis le 30 juin 2011, qu</w:t>
      </w:r>
      <w:r w:rsidR="00DE7A42" w:rsidRPr="00DE7A42">
        <w:rPr>
          <w:lang w:val="fr-FR"/>
        </w:rPr>
        <w:t>’</w:t>
      </w:r>
      <w:r w:rsidR="00AE1889" w:rsidRPr="00DE7A42">
        <w:rPr>
          <w:lang w:val="fr-FR"/>
        </w:rPr>
        <w:t>ils sont manipulés par</w:t>
      </w:r>
      <w:r w:rsidR="00FC2435" w:rsidRPr="00DE7A42">
        <w:rPr>
          <w:lang w:val="fr-FR"/>
        </w:rPr>
        <w:t xml:space="preserve"> leur mère </w:t>
      </w:r>
      <w:r w:rsidR="00AE1889" w:rsidRPr="00DE7A42">
        <w:rPr>
          <w:lang w:val="fr-FR"/>
        </w:rPr>
        <w:t>à son en</w:t>
      </w:r>
      <w:r w:rsidR="00FC2435" w:rsidRPr="00DE7A42">
        <w:rPr>
          <w:lang w:val="fr-FR"/>
        </w:rPr>
        <w:t>contre de sorte que même lorsqu</w:t>
      </w:r>
      <w:r w:rsidR="00DE7A42" w:rsidRPr="00DE7A42">
        <w:rPr>
          <w:lang w:val="fr-FR"/>
        </w:rPr>
        <w:t>’</w:t>
      </w:r>
      <w:r w:rsidR="00FC2435" w:rsidRPr="00DE7A42">
        <w:rPr>
          <w:lang w:val="fr-FR"/>
        </w:rPr>
        <w:t>il tente de leur parler au téléphone, ceux-ci le rejette</w:t>
      </w:r>
      <w:r w:rsidR="00736479" w:rsidRPr="00DE7A42">
        <w:rPr>
          <w:lang w:val="fr-FR"/>
        </w:rPr>
        <w:t>nt</w:t>
      </w:r>
      <w:r w:rsidR="00FC2435" w:rsidRPr="00DE7A42">
        <w:rPr>
          <w:lang w:val="fr-FR"/>
        </w:rPr>
        <w:t xml:space="preserve"> avec des paroles violentes.</w:t>
      </w:r>
    </w:p>
    <w:p w:rsidR="00DE7A42" w:rsidRPr="00DE7A42" w:rsidRDefault="00C6028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38</w:t>
      </w:r>
      <w:r w:rsidRPr="00DE7A42">
        <w:rPr>
          <w:lang w:val="fr-FR"/>
        </w:rPr>
        <w:fldChar w:fldCharType="end"/>
      </w:r>
      <w:r w:rsidRPr="00DE7A42">
        <w:rPr>
          <w:lang w:val="fr-FR"/>
        </w:rPr>
        <w:t>.  </w:t>
      </w:r>
      <w:r w:rsidR="00FC2435" w:rsidRPr="00DE7A42">
        <w:rPr>
          <w:lang w:val="fr-FR"/>
        </w:rPr>
        <w:t>Le 11 avril 2012, le requérant informa la Cour qu</w:t>
      </w:r>
      <w:r w:rsidR="00DE7A42" w:rsidRPr="00DE7A42">
        <w:rPr>
          <w:lang w:val="fr-FR"/>
        </w:rPr>
        <w:t>’</w:t>
      </w:r>
      <w:r w:rsidR="00FC2435" w:rsidRPr="00DE7A42">
        <w:rPr>
          <w:lang w:val="fr-FR"/>
        </w:rPr>
        <w:t>il ne lui avait pas été possible de récupérer ses enfants ni pendant les vacances d</w:t>
      </w:r>
      <w:r w:rsidR="00DE7A42" w:rsidRPr="00DE7A42">
        <w:rPr>
          <w:lang w:val="fr-FR"/>
        </w:rPr>
        <w:t>’</w:t>
      </w:r>
      <w:r w:rsidR="00FC2435" w:rsidRPr="00DE7A42">
        <w:rPr>
          <w:lang w:val="fr-FR"/>
        </w:rPr>
        <w:t>été 2011 ni pour Pâques 2012.</w:t>
      </w:r>
    </w:p>
    <w:p w:rsidR="00E77CB3" w:rsidRPr="00DE7A42" w:rsidRDefault="00E77CB3" w:rsidP="00DE7A42">
      <w:pPr>
        <w:pStyle w:val="ECHRHeading1"/>
        <w:rPr>
          <w:lang w:val="fr-FR"/>
        </w:rPr>
      </w:pPr>
      <w:r w:rsidRPr="00DE7A42">
        <w:rPr>
          <w:lang w:val="fr-FR"/>
        </w:rPr>
        <w:t>II.  LE DROIT ET LA PRATIQUE INTERNES PERTINENTS</w:t>
      </w:r>
    </w:p>
    <w:p w:rsidR="00DE7A42"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39</w:t>
      </w:r>
      <w:r w:rsidRPr="00DE7A42">
        <w:rPr>
          <w:lang w:val="fr-FR"/>
        </w:rPr>
        <w:fldChar w:fldCharType="end"/>
      </w:r>
      <w:r w:rsidR="00E77CB3" w:rsidRPr="00DE7A42">
        <w:rPr>
          <w:lang w:val="fr-FR"/>
        </w:rPr>
        <w:t>.  </w:t>
      </w:r>
      <w:r w:rsidR="00A270F1" w:rsidRPr="00DE7A42">
        <w:rPr>
          <w:lang w:val="fr-FR"/>
        </w:rPr>
        <w:t>L</w:t>
      </w:r>
      <w:r w:rsidR="00DE7A42" w:rsidRPr="00DE7A42">
        <w:rPr>
          <w:lang w:val="fr-FR"/>
        </w:rPr>
        <w:t>’</w:t>
      </w:r>
      <w:r w:rsidR="00A270F1" w:rsidRPr="00DE7A42">
        <w:rPr>
          <w:lang w:val="fr-FR"/>
        </w:rPr>
        <w:t>article 153</w:t>
      </w:r>
      <w:r w:rsidR="00C60288" w:rsidRPr="00DE7A42">
        <w:rPr>
          <w:lang w:val="fr-FR"/>
        </w:rPr>
        <w:t>2 du code civil (conséquence du mauvais exercice de la garde des enfants) dispose :</w:t>
      </w:r>
    </w:p>
    <w:p w:rsidR="00C60288" w:rsidRPr="00DE7A42" w:rsidRDefault="00C60288" w:rsidP="00DE7A42">
      <w:pPr>
        <w:pStyle w:val="ECHRParaQuote"/>
        <w:rPr>
          <w:lang w:val="fr-FR"/>
        </w:rPr>
      </w:pPr>
      <w:r w:rsidRPr="00DE7A42">
        <w:rPr>
          <w:lang w:val="fr-FR"/>
        </w:rPr>
        <w:t>« Si le père ou la mère enfreignent les devoirs qui leur sont imposés pour la garde de l</w:t>
      </w:r>
      <w:r w:rsidR="00DE7A42" w:rsidRPr="00DE7A42">
        <w:rPr>
          <w:lang w:val="fr-FR"/>
        </w:rPr>
        <w:t>’</w:t>
      </w:r>
      <w:r w:rsidRPr="00DE7A42">
        <w:rPr>
          <w:lang w:val="fr-FR"/>
        </w:rPr>
        <w:t>enfant ou la gestion de son patrimoine ou s</w:t>
      </w:r>
      <w:r w:rsidR="00DE7A42" w:rsidRPr="00DE7A42">
        <w:rPr>
          <w:lang w:val="fr-FR"/>
        </w:rPr>
        <w:t>’</w:t>
      </w:r>
      <w:r w:rsidRPr="00DE7A42">
        <w:rPr>
          <w:lang w:val="fr-FR"/>
        </w:rPr>
        <w:t>ils s</w:t>
      </w:r>
      <w:r w:rsidR="00DE7A42" w:rsidRPr="00DE7A42">
        <w:rPr>
          <w:lang w:val="fr-FR"/>
        </w:rPr>
        <w:t>’</w:t>
      </w:r>
      <w:r w:rsidRPr="00DE7A42">
        <w:rPr>
          <w:lang w:val="fr-FR"/>
        </w:rPr>
        <w:t>acquittent de ces devoirs de manière abusive ou s</w:t>
      </w:r>
      <w:r w:rsidR="00DE7A42" w:rsidRPr="00DE7A42">
        <w:rPr>
          <w:lang w:val="fr-FR"/>
        </w:rPr>
        <w:t>’</w:t>
      </w:r>
      <w:r w:rsidRPr="00DE7A42">
        <w:rPr>
          <w:lang w:val="fr-FR"/>
        </w:rPr>
        <w:t>ils ne sont pas en mesure d</w:t>
      </w:r>
      <w:r w:rsidR="00DE7A42" w:rsidRPr="00DE7A42">
        <w:rPr>
          <w:lang w:val="fr-FR"/>
        </w:rPr>
        <w:t>’</w:t>
      </w:r>
      <w:r w:rsidRPr="00DE7A42">
        <w:rPr>
          <w:lang w:val="fr-FR"/>
        </w:rPr>
        <w:t>y faire face, le tribunal peut ordonner toute mesure appropriée, d</w:t>
      </w:r>
      <w:r w:rsidR="00DE7A42" w:rsidRPr="00DE7A42">
        <w:rPr>
          <w:lang w:val="fr-FR"/>
        </w:rPr>
        <w:t>’</w:t>
      </w:r>
      <w:r w:rsidRPr="00DE7A42">
        <w:rPr>
          <w:lang w:val="fr-FR"/>
        </w:rPr>
        <w:t>office ou si l</w:t>
      </w:r>
      <w:r w:rsidR="00DE7A42" w:rsidRPr="00DE7A42">
        <w:rPr>
          <w:lang w:val="fr-FR"/>
        </w:rPr>
        <w:t>’</w:t>
      </w:r>
      <w:r w:rsidRPr="00DE7A42">
        <w:rPr>
          <w:lang w:val="fr-FR"/>
        </w:rPr>
        <w:t>autre parent, les parents les plus proches de l</w:t>
      </w:r>
      <w:r w:rsidR="00DE7A42" w:rsidRPr="00DE7A42">
        <w:rPr>
          <w:lang w:val="fr-FR"/>
        </w:rPr>
        <w:t>’</w:t>
      </w:r>
      <w:r w:rsidRPr="00DE7A42">
        <w:rPr>
          <w:lang w:val="fr-FR"/>
        </w:rPr>
        <w:t>enfant ou le procureur le demandent.</w:t>
      </w:r>
    </w:p>
    <w:p w:rsidR="00C60288" w:rsidRPr="00DE7A42" w:rsidRDefault="00C60288" w:rsidP="00DE7A42">
      <w:pPr>
        <w:pStyle w:val="ECHRParaQuote"/>
        <w:rPr>
          <w:lang w:val="fr-FR"/>
        </w:rPr>
      </w:pPr>
      <w:r w:rsidRPr="00DE7A42">
        <w:rPr>
          <w:lang w:val="fr-FR"/>
        </w:rPr>
        <w:t>Le tribunal peut notamment retirer totalement ou en partie à l</w:t>
      </w:r>
      <w:r w:rsidR="00DE7A42" w:rsidRPr="00DE7A42">
        <w:rPr>
          <w:lang w:val="fr-FR"/>
        </w:rPr>
        <w:t>’</w:t>
      </w:r>
      <w:r w:rsidRPr="00DE7A42">
        <w:rPr>
          <w:lang w:val="fr-FR"/>
        </w:rPr>
        <w:t>un des parents la garde et la confier exclusivement à l</w:t>
      </w:r>
      <w:r w:rsidR="00DE7A42" w:rsidRPr="00DE7A42">
        <w:rPr>
          <w:lang w:val="fr-FR"/>
        </w:rPr>
        <w:t>’</w:t>
      </w:r>
      <w:r w:rsidRPr="00DE7A42">
        <w:rPr>
          <w:lang w:val="fr-FR"/>
        </w:rPr>
        <w:t>autre ou, si les conditions du paragraphe précédent sont réunies sur la personne de l</w:t>
      </w:r>
      <w:r w:rsidR="00DE7A42" w:rsidRPr="00DE7A42">
        <w:rPr>
          <w:lang w:val="fr-FR"/>
        </w:rPr>
        <w:t>’</w:t>
      </w:r>
      <w:r w:rsidRPr="00DE7A42">
        <w:rPr>
          <w:lang w:val="fr-FR"/>
        </w:rPr>
        <w:t>autre, confier les soins parentaux ou la garde même, en tout ou en partie, à un tiers ou nommer un tuteur.</w:t>
      </w:r>
    </w:p>
    <w:p w:rsidR="00C60288" w:rsidRPr="00DE7A42" w:rsidRDefault="00C60288" w:rsidP="00DE7A42">
      <w:pPr>
        <w:pStyle w:val="ECHRParaQuote"/>
        <w:rPr>
          <w:lang w:val="fr-FR"/>
        </w:rPr>
      </w:pPr>
      <w:r w:rsidRPr="00DE7A42">
        <w:rPr>
          <w:lang w:val="fr-FR"/>
        </w:rPr>
        <w:t>Dans des cas particulièrement urgents, (</w:t>
      </w:r>
      <w:r w:rsidR="004831D1" w:rsidRPr="00DE7A42">
        <w:rPr>
          <w:lang w:val="fr-FR"/>
        </w:rPr>
        <w:t>...</w:t>
      </w:r>
      <w:r w:rsidRPr="00DE7A42">
        <w:rPr>
          <w:lang w:val="fr-FR"/>
        </w:rPr>
        <w:t>) et si un risque immédiat pour l</w:t>
      </w:r>
      <w:r w:rsidR="00DE7A42" w:rsidRPr="00DE7A42">
        <w:rPr>
          <w:lang w:val="fr-FR"/>
        </w:rPr>
        <w:t>’</w:t>
      </w:r>
      <w:r w:rsidRPr="00DE7A42">
        <w:rPr>
          <w:lang w:val="fr-FR"/>
        </w:rPr>
        <w:t>intégrité physique de l</w:t>
      </w:r>
      <w:r w:rsidR="00DE7A42" w:rsidRPr="00DE7A42">
        <w:rPr>
          <w:lang w:val="fr-FR"/>
        </w:rPr>
        <w:t>’</w:t>
      </w:r>
      <w:r w:rsidRPr="00DE7A42">
        <w:rPr>
          <w:lang w:val="fr-FR"/>
        </w:rPr>
        <w:t>enfant ou sa santé psychique est imminent, le procureur peut ordonner toute mesure appropriée pour la protection de celui-ci, jusqu</w:t>
      </w:r>
      <w:r w:rsidR="00DE7A42" w:rsidRPr="00DE7A42">
        <w:rPr>
          <w:lang w:val="fr-FR"/>
        </w:rPr>
        <w:t>’</w:t>
      </w:r>
      <w:r w:rsidRPr="00DE7A42">
        <w:rPr>
          <w:lang w:val="fr-FR"/>
        </w:rPr>
        <w:t>à ce que le tribunal, auquel il doit s</w:t>
      </w:r>
      <w:r w:rsidR="00DE7A42" w:rsidRPr="00DE7A42">
        <w:rPr>
          <w:lang w:val="fr-FR"/>
        </w:rPr>
        <w:t>’</w:t>
      </w:r>
      <w:r w:rsidRPr="00DE7A42">
        <w:rPr>
          <w:lang w:val="fr-FR"/>
        </w:rPr>
        <w:t>adresser dans un délai de trente jours, se prononce. »</w:t>
      </w:r>
    </w:p>
    <w:p w:rsidR="00C60288" w:rsidRPr="00DE7A42" w:rsidRDefault="00C6028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40</w:t>
      </w:r>
      <w:r w:rsidRPr="00DE7A42">
        <w:rPr>
          <w:lang w:val="fr-FR"/>
        </w:rPr>
        <w:fldChar w:fldCharType="end"/>
      </w:r>
      <w:r w:rsidRPr="00DE7A42">
        <w:rPr>
          <w:lang w:val="fr-FR"/>
        </w:rPr>
        <w:t>.  Les articles pertinents du code de procédure civile se lisent ainsi :</w:t>
      </w:r>
    </w:p>
    <w:p w:rsidR="00C60288" w:rsidRPr="00DE7A42" w:rsidRDefault="00C60288" w:rsidP="00DE7A42">
      <w:pPr>
        <w:pStyle w:val="ECHRTitleCentre3"/>
        <w:rPr>
          <w:lang w:val="fr-FR"/>
        </w:rPr>
      </w:pPr>
      <w:r w:rsidRPr="00DE7A42">
        <w:rPr>
          <w:lang w:val="fr-FR"/>
        </w:rPr>
        <w:t>Article 950 § 2</w:t>
      </w:r>
    </w:p>
    <w:p w:rsidR="00C60288" w:rsidRPr="00DE7A42" w:rsidRDefault="00C60288" w:rsidP="00DE7A42">
      <w:pPr>
        <w:pStyle w:val="ECHRParaQuote"/>
        <w:rPr>
          <w:lang w:val="fr-FR"/>
        </w:rPr>
      </w:pPr>
      <w:r w:rsidRPr="00DE7A42">
        <w:rPr>
          <w:lang w:val="fr-FR"/>
        </w:rPr>
        <w:t>« Lorsqu</w:t>
      </w:r>
      <w:r w:rsidR="00DE7A42" w:rsidRPr="00DE7A42">
        <w:rPr>
          <w:lang w:val="fr-FR"/>
        </w:rPr>
        <w:t>’</w:t>
      </w:r>
      <w:r w:rsidRPr="00DE7A42">
        <w:rPr>
          <w:lang w:val="fr-FR"/>
        </w:rPr>
        <w:t>il est fait obstacle au droit au contact personnel entre l</w:t>
      </w:r>
      <w:r w:rsidR="00DE7A42" w:rsidRPr="00DE7A42">
        <w:rPr>
          <w:lang w:val="fr-FR"/>
        </w:rPr>
        <w:t>’</w:t>
      </w:r>
      <w:r w:rsidRPr="00DE7A42">
        <w:rPr>
          <w:lang w:val="fr-FR"/>
        </w:rPr>
        <w:t>enfant et un de ses parents, la décision judiciaire qui fixe le droit de visite peut menacer d</w:t>
      </w:r>
      <w:r w:rsidR="00DE7A42" w:rsidRPr="00DE7A42">
        <w:rPr>
          <w:lang w:val="fr-FR"/>
        </w:rPr>
        <w:t>’</w:t>
      </w:r>
      <w:r w:rsidRPr="00DE7A42">
        <w:rPr>
          <w:lang w:val="fr-FR"/>
        </w:rPr>
        <w:t>une sanction pécuniaire et d</w:t>
      </w:r>
      <w:r w:rsidR="00DE7A42" w:rsidRPr="00DE7A42">
        <w:rPr>
          <w:lang w:val="fr-FR"/>
        </w:rPr>
        <w:t>’</w:t>
      </w:r>
      <w:r w:rsidRPr="00DE7A42">
        <w:rPr>
          <w:lang w:val="fr-FR"/>
        </w:rPr>
        <w:t>une peine privative de liberté celui qui obstrue ce contact. Dans ce cas, les dispositions de l</w:t>
      </w:r>
      <w:r w:rsidR="00DE7A42" w:rsidRPr="00DE7A42">
        <w:rPr>
          <w:lang w:val="fr-FR"/>
        </w:rPr>
        <w:t>’</w:t>
      </w:r>
      <w:r w:rsidRPr="00DE7A42">
        <w:rPr>
          <w:lang w:val="fr-FR"/>
        </w:rPr>
        <w:t>article 947 s</w:t>
      </w:r>
      <w:r w:rsidR="00DE7A42" w:rsidRPr="00DE7A42">
        <w:rPr>
          <w:lang w:val="fr-FR"/>
        </w:rPr>
        <w:t>’</w:t>
      </w:r>
      <w:r w:rsidRPr="00DE7A42">
        <w:rPr>
          <w:lang w:val="fr-FR"/>
        </w:rPr>
        <w:t>appliquent. »</w:t>
      </w:r>
    </w:p>
    <w:p w:rsidR="00C60288" w:rsidRPr="00DE7A42" w:rsidRDefault="00C60288" w:rsidP="00DE7A42">
      <w:pPr>
        <w:pStyle w:val="ECHRTitleCentre3"/>
        <w:rPr>
          <w:lang w:val="fr-FR"/>
        </w:rPr>
      </w:pPr>
      <w:r w:rsidRPr="00DE7A42">
        <w:rPr>
          <w:lang w:val="fr-FR"/>
        </w:rPr>
        <w:t>Article 947 § 1</w:t>
      </w:r>
    </w:p>
    <w:p w:rsidR="00C60288" w:rsidRPr="00DE7A42" w:rsidRDefault="00C60288" w:rsidP="00DE7A42">
      <w:pPr>
        <w:pStyle w:val="ECHRParaQuote"/>
        <w:rPr>
          <w:lang w:val="fr-FR"/>
        </w:rPr>
      </w:pPr>
      <w:r w:rsidRPr="00DE7A42">
        <w:rPr>
          <w:lang w:val="fr-FR"/>
        </w:rPr>
        <w:t>« (</w:t>
      </w:r>
      <w:r w:rsidR="004831D1" w:rsidRPr="00DE7A42">
        <w:rPr>
          <w:lang w:val="fr-FR"/>
        </w:rPr>
        <w:t>...</w:t>
      </w:r>
      <w:r w:rsidRPr="00DE7A42">
        <w:rPr>
          <w:lang w:val="fr-FR"/>
        </w:rPr>
        <w:t>) Si la menace d</w:t>
      </w:r>
      <w:r w:rsidR="00DE7A42" w:rsidRPr="00DE7A42">
        <w:rPr>
          <w:lang w:val="fr-FR"/>
        </w:rPr>
        <w:t>’</w:t>
      </w:r>
      <w:r w:rsidRPr="00DE7A42">
        <w:rPr>
          <w:lang w:val="fr-FR"/>
        </w:rPr>
        <w:t>une sanction pécuniaire et d</w:t>
      </w:r>
      <w:r w:rsidR="00DE7A42" w:rsidRPr="00DE7A42">
        <w:rPr>
          <w:lang w:val="fr-FR"/>
        </w:rPr>
        <w:t>’</w:t>
      </w:r>
      <w:r w:rsidRPr="00DE7A42">
        <w:rPr>
          <w:lang w:val="fr-FR"/>
        </w:rPr>
        <w:t>une peine privative de liberté n</w:t>
      </w:r>
      <w:r w:rsidR="00DE7A42" w:rsidRPr="00DE7A42">
        <w:rPr>
          <w:lang w:val="fr-FR"/>
        </w:rPr>
        <w:t>’</w:t>
      </w:r>
      <w:r w:rsidRPr="00DE7A42">
        <w:rPr>
          <w:lang w:val="fr-FR"/>
        </w:rPr>
        <w:t>est pas incluse dans la décision qui condamne le débiteur (</w:t>
      </w:r>
      <w:r w:rsidR="004831D1" w:rsidRPr="00DE7A42">
        <w:rPr>
          <w:lang w:val="fr-FR"/>
        </w:rPr>
        <w:t>...</w:t>
      </w:r>
      <w:r w:rsidRPr="00DE7A42">
        <w:rPr>
          <w:lang w:val="fr-FR"/>
        </w:rPr>
        <w:t>), elle peut être prononcée par le juge unique. Ce dernier est compétent pour constater l</w:t>
      </w:r>
      <w:r w:rsidR="00DE7A42" w:rsidRPr="00DE7A42">
        <w:rPr>
          <w:lang w:val="fr-FR"/>
        </w:rPr>
        <w:t>’</w:t>
      </w:r>
      <w:r w:rsidRPr="00DE7A42">
        <w:rPr>
          <w:lang w:val="fr-FR"/>
        </w:rPr>
        <w:t>infraction et condamner à une sanction pécuniaire et à une peine privative de liberté. Dans ce cas, il applique la procédure prévue aux articles 670 à 676. »</w:t>
      </w:r>
    </w:p>
    <w:p w:rsidR="00932DD6" w:rsidRPr="00DE7A42" w:rsidRDefault="00932DD6" w:rsidP="00DE7A42">
      <w:pPr>
        <w:pStyle w:val="ECHRParaQuote"/>
        <w:jc w:val="center"/>
        <w:rPr>
          <w:b/>
          <w:lang w:val="fr-FR"/>
        </w:rPr>
      </w:pPr>
      <w:r w:rsidRPr="00DE7A42">
        <w:rPr>
          <w:b/>
          <w:lang w:val="fr-FR"/>
        </w:rPr>
        <w:t>Article 672A</w:t>
      </w:r>
    </w:p>
    <w:p w:rsidR="00932DD6" w:rsidRPr="00DE7A42" w:rsidRDefault="00932DD6" w:rsidP="00DE7A42">
      <w:pPr>
        <w:pStyle w:val="ECHRParaQuote"/>
        <w:rPr>
          <w:lang w:val="fr-FR"/>
        </w:rPr>
      </w:pPr>
      <w:r w:rsidRPr="00DE7A42">
        <w:rPr>
          <w:lang w:val="fr-FR"/>
        </w:rPr>
        <w:t>« Les décisions (</w:t>
      </w:r>
      <w:r w:rsidR="004831D1" w:rsidRPr="00DE7A42">
        <w:rPr>
          <w:lang w:val="fr-FR"/>
        </w:rPr>
        <w:t>...</w:t>
      </w:r>
      <w:r w:rsidRPr="00DE7A42">
        <w:rPr>
          <w:lang w:val="fr-FR"/>
        </w:rPr>
        <w:t xml:space="preserve">) sont rendues obligatoirement dans un délai de quinze jours en première instance, </w:t>
      </w:r>
      <w:r w:rsidR="000A5736" w:rsidRPr="00DE7A42">
        <w:rPr>
          <w:lang w:val="fr-FR"/>
        </w:rPr>
        <w:t>à compter de la date de l</w:t>
      </w:r>
      <w:r w:rsidR="00DE7A42" w:rsidRPr="00DE7A42">
        <w:rPr>
          <w:lang w:val="fr-FR"/>
        </w:rPr>
        <w:t>’</w:t>
      </w:r>
      <w:r w:rsidR="000A5736" w:rsidRPr="00DE7A42">
        <w:rPr>
          <w:lang w:val="fr-FR"/>
        </w:rPr>
        <w:t xml:space="preserve">audience, </w:t>
      </w:r>
      <w:r w:rsidRPr="00DE7A42">
        <w:rPr>
          <w:lang w:val="fr-FR"/>
        </w:rPr>
        <w:t>et d</w:t>
      </w:r>
      <w:r w:rsidR="000A5736" w:rsidRPr="00DE7A42">
        <w:rPr>
          <w:lang w:val="fr-FR"/>
        </w:rPr>
        <w:t>ans un délai d</w:t>
      </w:r>
      <w:r w:rsidR="00DE7A42" w:rsidRPr="00DE7A42">
        <w:rPr>
          <w:lang w:val="fr-FR"/>
        </w:rPr>
        <w:t>’</w:t>
      </w:r>
      <w:r w:rsidR="000A5736" w:rsidRPr="00DE7A42">
        <w:rPr>
          <w:lang w:val="fr-FR"/>
        </w:rPr>
        <w:t>un mois en appel</w:t>
      </w:r>
      <w:r w:rsidRPr="00DE7A42">
        <w:rPr>
          <w:lang w:val="fr-FR"/>
        </w:rPr>
        <w:t>. »</w:t>
      </w:r>
    </w:p>
    <w:p w:rsidR="00DE7A42" w:rsidRPr="00DE7A42" w:rsidRDefault="003658D2"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41</w:t>
      </w:r>
      <w:r w:rsidRPr="00DE7A42">
        <w:rPr>
          <w:lang w:val="fr-FR"/>
        </w:rPr>
        <w:fldChar w:fldCharType="end"/>
      </w:r>
      <w:r w:rsidRPr="00DE7A42">
        <w:rPr>
          <w:lang w:val="fr-FR"/>
        </w:rPr>
        <w:t>.  La jurisprudence a établi qu</w:t>
      </w:r>
      <w:r w:rsidR="00DE7A42" w:rsidRPr="00DE7A42">
        <w:rPr>
          <w:lang w:val="fr-FR"/>
        </w:rPr>
        <w:t>’</w:t>
      </w:r>
      <w:r w:rsidRPr="00DE7A42">
        <w:rPr>
          <w:lang w:val="fr-FR"/>
        </w:rPr>
        <w:t>en appliquant le paragraphe 2 de l</w:t>
      </w:r>
      <w:r w:rsidR="00DE7A42" w:rsidRPr="00DE7A42">
        <w:rPr>
          <w:lang w:val="fr-FR"/>
        </w:rPr>
        <w:t>’</w:t>
      </w:r>
      <w:r w:rsidRPr="00DE7A42">
        <w:rPr>
          <w:lang w:val="fr-FR"/>
        </w:rPr>
        <w:t>article 950, le tribunal a la faculté et non l</w:t>
      </w:r>
      <w:r w:rsidR="00DE7A42" w:rsidRPr="00DE7A42">
        <w:rPr>
          <w:lang w:val="fr-FR"/>
        </w:rPr>
        <w:t>’</w:t>
      </w:r>
      <w:r w:rsidRPr="00DE7A42">
        <w:rPr>
          <w:lang w:val="fr-FR"/>
        </w:rPr>
        <w:t>obligation de prononcer la menace d</w:t>
      </w:r>
      <w:r w:rsidR="00DE7A42" w:rsidRPr="00DE7A42">
        <w:rPr>
          <w:lang w:val="fr-FR"/>
        </w:rPr>
        <w:t>’</w:t>
      </w:r>
      <w:r w:rsidRPr="00DE7A42">
        <w:rPr>
          <w:lang w:val="fr-FR"/>
        </w:rPr>
        <w:t>une sanction pécuniaire ou d</w:t>
      </w:r>
      <w:r w:rsidR="00DE7A42" w:rsidRPr="00DE7A42">
        <w:rPr>
          <w:lang w:val="fr-FR"/>
        </w:rPr>
        <w:t>’</w:t>
      </w:r>
      <w:r w:rsidRPr="00DE7A42">
        <w:rPr>
          <w:lang w:val="fr-FR"/>
        </w:rPr>
        <w:t>une privation de liberté contre celui ou celle des parents qui met obstacle au contact de l</w:t>
      </w:r>
      <w:r w:rsidR="00DE7A42" w:rsidRPr="00DE7A42">
        <w:rPr>
          <w:lang w:val="fr-FR"/>
        </w:rPr>
        <w:t>’</w:t>
      </w:r>
      <w:r w:rsidRPr="00DE7A42">
        <w:rPr>
          <w:lang w:val="fr-FR"/>
        </w:rPr>
        <w:t>autre avec l</w:t>
      </w:r>
      <w:r w:rsidR="00DE7A42" w:rsidRPr="00DE7A42">
        <w:rPr>
          <w:lang w:val="fr-FR"/>
        </w:rPr>
        <w:t>’</w:t>
      </w:r>
      <w:r w:rsidRPr="00DE7A42">
        <w:rPr>
          <w:lang w:val="fr-FR"/>
        </w:rPr>
        <w:t>enfant (arrêt n</w:t>
      </w:r>
      <w:r w:rsidR="004831D1" w:rsidRPr="00DE7A42">
        <w:rPr>
          <w:vertAlign w:val="superscript"/>
          <w:lang w:val="fr-FR"/>
        </w:rPr>
        <w:t>o</w:t>
      </w:r>
      <w:r w:rsidRPr="00DE7A42">
        <w:rPr>
          <w:lang w:val="fr-FR"/>
        </w:rPr>
        <w:t xml:space="preserve"> 1465/1988 de la Cour de cassation). La menace de ses sanctions doit être incluse dans la décision qui règle le droit de visite (arrêts n</w:t>
      </w:r>
      <w:r w:rsidR="004831D1" w:rsidRPr="00DE7A42">
        <w:rPr>
          <w:vertAlign w:val="superscript"/>
          <w:lang w:val="fr-FR"/>
        </w:rPr>
        <w:t>o</w:t>
      </w:r>
      <w:r w:rsidRPr="00DE7A42">
        <w:rPr>
          <w:lang w:val="fr-FR"/>
        </w:rPr>
        <w:t> 1465/1998 et 422/199</w:t>
      </w:r>
      <w:r w:rsidR="00A270F1" w:rsidRPr="00DE7A42">
        <w:rPr>
          <w:lang w:val="fr-FR"/>
        </w:rPr>
        <w:t>9</w:t>
      </w:r>
      <w:r w:rsidRPr="00DE7A42">
        <w:rPr>
          <w:lang w:val="fr-FR"/>
        </w:rPr>
        <w:t xml:space="preserve"> de la Cour de cassation). Toutefois, la Cour de cassation a aussi jugé (arrêt n</w:t>
      </w:r>
      <w:r w:rsidR="004831D1" w:rsidRPr="00DE7A42">
        <w:rPr>
          <w:vertAlign w:val="superscript"/>
          <w:lang w:val="fr-FR"/>
        </w:rPr>
        <w:t>o</w:t>
      </w:r>
      <w:r w:rsidRPr="00DE7A42">
        <w:rPr>
          <w:lang w:val="fr-FR"/>
        </w:rPr>
        <w:t xml:space="preserve"> 685/1975) que </w:t>
      </w:r>
      <w:r w:rsidR="0014007D" w:rsidRPr="00DE7A42">
        <w:rPr>
          <w:lang w:val="fr-FR"/>
        </w:rPr>
        <w:t>la menace de ces sanctions peut être incluse dans une décision postérieure car l</w:t>
      </w:r>
      <w:r w:rsidR="00DE7A42" w:rsidRPr="00DE7A42">
        <w:rPr>
          <w:lang w:val="fr-FR"/>
        </w:rPr>
        <w:t>’</w:t>
      </w:r>
      <w:r w:rsidR="0014007D" w:rsidRPr="00DE7A42">
        <w:rPr>
          <w:lang w:val="fr-FR"/>
        </w:rPr>
        <w:t>omission d</w:t>
      </w:r>
      <w:r w:rsidR="00DE7A42" w:rsidRPr="00DE7A42">
        <w:rPr>
          <w:lang w:val="fr-FR"/>
        </w:rPr>
        <w:t>’</w:t>
      </w:r>
      <w:r w:rsidR="0014007D" w:rsidRPr="00DE7A42">
        <w:rPr>
          <w:lang w:val="fr-FR"/>
        </w:rPr>
        <w:t>un parent de faire une demande dans ce sens lors de la procédure initiale, due éventuellement au souhait de ne pas mettre davantage à l</w:t>
      </w:r>
      <w:r w:rsidR="00DE7A42" w:rsidRPr="00DE7A42">
        <w:rPr>
          <w:lang w:val="fr-FR"/>
        </w:rPr>
        <w:t>’</w:t>
      </w:r>
      <w:r w:rsidR="0014007D" w:rsidRPr="00DE7A42">
        <w:rPr>
          <w:lang w:val="fr-FR"/>
        </w:rPr>
        <w:t>épreuve les relations entre parents, peut être mise à profit par l</w:t>
      </w:r>
      <w:r w:rsidR="00DE7A42" w:rsidRPr="00DE7A42">
        <w:rPr>
          <w:lang w:val="fr-FR"/>
        </w:rPr>
        <w:t>’</w:t>
      </w:r>
      <w:r w:rsidR="0014007D" w:rsidRPr="00DE7A42">
        <w:rPr>
          <w:lang w:val="fr-FR"/>
        </w:rPr>
        <w:t>époux de mauvaise foi.</w:t>
      </w:r>
    </w:p>
    <w:p w:rsidR="00C60288" w:rsidRPr="00DE7A42" w:rsidRDefault="00C6028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42</w:t>
      </w:r>
      <w:r w:rsidRPr="00DE7A42">
        <w:rPr>
          <w:lang w:val="fr-FR"/>
        </w:rPr>
        <w:fldChar w:fldCharType="end"/>
      </w:r>
      <w:r w:rsidRPr="00DE7A42">
        <w:rPr>
          <w:lang w:val="fr-FR"/>
        </w:rPr>
        <w:t>.  L</w:t>
      </w:r>
      <w:r w:rsidR="00DE7A42" w:rsidRPr="00DE7A42">
        <w:rPr>
          <w:lang w:val="fr-FR"/>
        </w:rPr>
        <w:t>’</w:t>
      </w:r>
      <w:r w:rsidRPr="00DE7A42">
        <w:rPr>
          <w:lang w:val="fr-FR"/>
        </w:rPr>
        <w:t>article 232A du code pénal prévoit :</w:t>
      </w:r>
    </w:p>
    <w:p w:rsidR="00E77CB3" w:rsidRPr="00DE7A42" w:rsidRDefault="008F2DD2" w:rsidP="00DE7A42">
      <w:pPr>
        <w:pStyle w:val="ECHRParaQuote"/>
        <w:rPr>
          <w:lang w:val="fr-FR"/>
        </w:rPr>
      </w:pPr>
      <w:r w:rsidRPr="00DE7A42">
        <w:rPr>
          <w:lang w:val="fr-FR"/>
        </w:rPr>
        <w:t>« </w:t>
      </w:r>
      <w:r w:rsidR="00C60288" w:rsidRPr="00DE7A42">
        <w:rPr>
          <w:lang w:val="fr-FR"/>
        </w:rPr>
        <w:t>1. Celui qui intentionnellement ne se conforme pas à un ordre provisoire émis par un juge unique ou un tribunal ou à une décision judiciaire qui l</w:t>
      </w:r>
      <w:r w:rsidR="00DE7A42" w:rsidRPr="00DE7A42">
        <w:rPr>
          <w:lang w:val="fr-FR"/>
        </w:rPr>
        <w:t>’</w:t>
      </w:r>
      <w:r w:rsidR="00C60288" w:rsidRPr="00DE7A42">
        <w:rPr>
          <w:lang w:val="fr-FR"/>
        </w:rPr>
        <w:t>obligeait à (</w:t>
      </w:r>
      <w:r w:rsidR="004831D1" w:rsidRPr="00DE7A42">
        <w:rPr>
          <w:lang w:val="fr-FR"/>
        </w:rPr>
        <w:t>...</w:t>
      </w:r>
      <w:r w:rsidR="00C60288" w:rsidRPr="00DE7A42">
        <w:rPr>
          <w:lang w:val="fr-FR"/>
        </w:rPr>
        <w:t>) agir et que cette action dépend exclusivement de sa volonté (</w:t>
      </w:r>
      <w:r w:rsidR="004831D1" w:rsidRPr="00DE7A42">
        <w:rPr>
          <w:lang w:val="fr-FR"/>
        </w:rPr>
        <w:t>...</w:t>
      </w:r>
      <w:r w:rsidR="00C60288" w:rsidRPr="00DE7A42">
        <w:rPr>
          <w:lang w:val="fr-FR"/>
        </w:rPr>
        <w:t>) est puni d</w:t>
      </w:r>
      <w:r w:rsidR="00DE7A42" w:rsidRPr="00DE7A42">
        <w:rPr>
          <w:lang w:val="fr-FR"/>
        </w:rPr>
        <w:t>’</w:t>
      </w:r>
      <w:r w:rsidR="00C60288" w:rsidRPr="00DE7A42">
        <w:rPr>
          <w:lang w:val="fr-FR"/>
        </w:rPr>
        <w:t>une peine d</w:t>
      </w:r>
      <w:r w:rsidR="00DE7A42" w:rsidRPr="00DE7A42">
        <w:rPr>
          <w:lang w:val="fr-FR"/>
        </w:rPr>
        <w:t>’</w:t>
      </w:r>
      <w:r w:rsidR="00C60288" w:rsidRPr="00DE7A42">
        <w:rPr>
          <w:lang w:val="fr-FR"/>
        </w:rPr>
        <w:t>emprisonnement d</w:t>
      </w:r>
      <w:r w:rsidR="00DE7A42" w:rsidRPr="00DE7A42">
        <w:rPr>
          <w:lang w:val="fr-FR"/>
        </w:rPr>
        <w:t>’</w:t>
      </w:r>
      <w:r w:rsidR="00C60288" w:rsidRPr="00DE7A42">
        <w:rPr>
          <w:lang w:val="fr-FR"/>
        </w:rPr>
        <w:t>au moins six mois (</w:t>
      </w:r>
      <w:r w:rsidR="004831D1" w:rsidRPr="00DE7A42">
        <w:rPr>
          <w:lang w:val="fr-FR"/>
        </w:rPr>
        <w:t>...</w:t>
      </w:r>
      <w:r w:rsidR="00C60288" w:rsidRPr="00DE7A42">
        <w:rPr>
          <w:lang w:val="fr-FR"/>
        </w:rPr>
        <w:t>). »</w:t>
      </w:r>
    </w:p>
    <w:p w:rsidR="00E77CB3" w:rsidRPr="00DE7A42" w:rsidRDefault="00E77CB3" w:rsidP="00DE7A42">
      <w:pPr>
        <w:pStyle w:val="ECHRTitle1"/>
        <w:rPr>
          <w:lang w:val="fr-FR"/>
        </w:rPr>
      </w:pPr>
      <w:r w:rsidRPr="00DE7A42">
        <w:rPr>
          <w:lang w:val="fr-FR"/>
        </w:rPr>
        <w:t>EN DROIT</w:t>
      </w:r>
    </w:p>
    <w:p w:rsidR="00E77CB3" w:rsidRPr="00DE7A42" w:rsidRDefault="00E77CB3" w:rsidP="00DE7A42">
      <w:pPr>
        <w:pStyle w:val="ECHRHeading1"/>
        <w:rPr>
          <w:lang w:val="fr-FR"/>
        </w:rPr>
      </w:pPr>
      <w:r w:rsidRPr="00DE7A42">
        <w:rPr>
          <w:lang w:val="fr-FR"/>
        </w:rPr>
        <w:t>I.  SUR LA VIOLATION ALLÉGUÉE DE L</w:t>
      </w:r>
      <w:r w:rsidR="00DE7A42" w:rsidRPr="00DE7A42">
        <w:rPr>
          <w:lang w:val="fr-FR"/>
        </w:rPr>
        <w:t>’</w:t>
      </w:r>
      <w:r w:rsidRPr="00DE7A42">
        <w:rPr>
          <w:lang w:val="fr-FR"/>
        </w:rPr>
        <w:t xml:space="preserve">ARTICLE </w:t>
      </w:r>
      <w:r w:rsidR="00C60288" w:rsidRPr="00DE7A42">
        <w:rPr>
          <w:lang w:val="fr-FR"/>
        </w:rPr>
        <w:t>8</w:t>
      </w:r>
      <w:r w:rsidRPr="00DE7A42">
        <w:rPr>
          <w:lang w:val="fr-FR"/>
        </w:rPr>
        <w:t xml:space="preserve"> DE LA CONVENTION</w:t>
      </w:r>
    </w:p>
    <w:p w:rsidR="00C60288"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43</w:t>
      </w:r>
      <w:r w:rsidRPr="00DE7A42">
        <w:rPr>
          <w:lang w:val="fr-FR"/>
        </w:rPr>
        <w:fldChar w:fldCharType="end"/>
      </w:r>
      <w:r w:rsidR="00E77CB3" w:rsidRPr="00DE7A42">
        <w:rPr>
          <w:lang w:val="fr-FR"/>
        </w:rPr>
        <w:t>.  </w:t>
      </w:r>
      <w:r w:rsidRPr="00DE7A42">
        <w:rPr>
          <w:lang w:val="fr-FR"/>
        </w:rPr>
        <w:t>Le requérant</w:t>
      </w:r>
      <w:r w:rsidR="00E77CB3" w:rsidRPr="00DE7A42">
        <w:rPr>
          <w:lang w:val="fr-FR"/>
        </w:rPr>
        <w:t xml:space="preserve"> </w:t>
      </w:r>
      <w:r w:rsidR="00C60288" w:rsidRPr="00DE7A42">
        <w:rPr>
          <w:lang w:val="fr-FR"/>
        </w:rPr>
        <w:t>se plaint des violations des articles 8 (violation de l</w:t>
      </w:r>
      <w:r w:rsidR="00DE7A42" w:rsidRPr="00DE7A42">
        <w:rPr>
          <w:lang w:val="fr-FR"/>
        </w:rPr>
        <w:t>’</w:t>
      </w:r>
      <w:r w:rsidR="00C60288" w:rsidRPr="00DE7A42">
        <w:rPr>
          <w:lang w:val="fr-FR"/>
        </w:rPr>
        <w:t>obligation positive de l</w:t>
      </w:r>
      <w:r w:rsidR="00DE7A42" w:rsidRPr="00DE7A42">
        <w:rPr>
          <w:lang w:val="fr-FR"/>
        </w:rPr>
        <w:t>’</w:t>
      </w:r>
      <w:r w:rsidR="00C60288" w:rsidRPr="00DE7A42">
        <w:rPr>
          <w:lang w:val="fr-FR"/>
        </w:rPr>
        <w:t>Etat d</w:t>
      </w:r>
      <w:r w:rsidR="00DE7A42" w:rsidRPr="00DE7A42">
        <w:rPr>
          <w:lang w:val="fr-FR"/>
        </w:rPr>
        <w:t>’</w:t>
      </w:r>
      <w:r w:rsidR="00C60288" w:rsidRPr="00DE7A42">
        <w:rPr>
          <w:lang w:val="fr-FR"/>
        </w:rPr>
        <w:t>assurer l</w:t>
      </w:r>
      <w:r w:rsidR="00DE7A42" w:rsidRPr="00DE7A42">
        <w:rPr>
          <w:lang w:val="fr-FR"/>
        </w:rPr>
        <w:t>’</w:t>
      </w:r>
      <w:r w:rsidR="00C60288" w:rsidRPr="00DE7A42">
        <w:rPr>
          <w:lang w:val="fr-FR"/>
        </w:rPr>
        <w:t>exercice effectif du droit de visite du père dans des délais tels que les enfants ne s</w:t>
      </w:r>
      <w:r w:rsidR="00DE7A42" w:rsidRPr="00DE7A42">
        <w:rPr>
          <w:lang w:val="fr-FR"/>
        </w:rPr>
        <w:t>’</w:t>
      </w:r>
      <w:r w:rsidR="00C60288" w:rsidRPr="00DE7A42">
        <w:rPr>
          <w:lang w:val="fr-FR"/>
        </w:rPr>
        <w:t>éloignent pas complètement de lui sous l</w:t>
      </w:r>
      <w:r w:rsidR="00DE7A42" w:rsidRPr="00DE7A42">
        <w:rPr>
          <w:lang w:val="fr-FR"/>
        </w:rPr>
        <w:t>’</w:t>
      </w:r>
      <w:r w:rsidR="00C60288" w:rsidRPr="00DE7A42">
        <w:rPr>
          <w:lang w:val="fr-FR"/>
        </w:rPr>
        <w:t>influence hostile de la mère), 6 § 1 (en raison de l</w:t>
      </w:r>
      <w:r w:rsidR="00DE7A42" w:rsidRPr="00DE7A42">
        <w:rPr>
          <w:lang w:val="fr-FR"/>
        </w:rPr>
        <w:t>’</w:t>
      </w:r>
      <w:r w:rsidR="00C60288" w:rsidRPr="00DE7A42">
        <w:rPr>
          <w:lang w:val="fr-FR"/>
        </w:rPr>
        <w:t>impossibilité de faire exécuter la décision du tribunal de première instance fixant le droit de visite) et de l</w:t>
      </w:r>
      <w:r w:rsidR="00DE7A42" w:rsidRPr="00DE7A42">
        <w:rPr>
          <w:lang w:val="fr-FR"/>
        </w:rPr>
        <w:t>’</w:t>
      </w:r>
      <w:r w:rsidR="00C60288" w:rsidRPr="00DE7A42">
        <w:rPr>
          <w:lang w:val="fr-FR"/>
        </w:rPr>
        <w:t>article 8 combiné avec l</w:t>
      </w:r>
      <w:r w:rsidR="00DE7A42" w:rsidRPr="00DE7A42">
        <w:rPr>
          <w:lang w:val="fr-FR"/>
        </w:rPr>
        <w:t>’</w:t>
      </w:r>
      <w:r w:rsidR="00C60288" w:rsidRPr="00DE7A42">
        <w:rPr>
          <w:lang w:val="fr-FR"/>
        </w:rPr>
        <w:t>article 13 en raison de l</w:t>
      </w:r>
      <w:r w:rsidR="00DE7A42" w:rsidRPr="00DE7A42">
        <w:rPr>
          <w:lang w:val="fr-FR"/>
        </w:rPr>
        <w:t>’</w:t>
      </w:r>
      <w:r w:rsidR="00C60288" w:rsidRPr="00DE7A42">
        <w:rPr>
          <w:lang w:val="fr-FR"/>
        </w:rPr>
        <w:t>absence d</w:t>
      </w:r>
      <w:r w:rsidR="00DE7A42" w:rsidRPr="00DE7A42">
        <w:rPr>
          <w:lang w:val="fr-FR"/>
        </w:rPr>
        <w:t>’</w:t>
      </w:r>
      <w:r w:rsidR="00C60288" w:rsidRPr="00DE7A42">
        <w:rPr>
          <w:lang w:val="fr-FR"/>
        </w:rPr>
        <w:t>un recours effectif pour se plaindre de la protection insuffisante de son droit garanti par l</w:t>
      </w:r>
      <w:r w:rsidR="00DE7A42" w:rsidRPr="00DE7A42">
        <w:rPr>
          <w:lang w:val="fr-FR"/>
        </w:rPr>
        <w:t>’</w:t>
      </w:r>
      <w:r w:rsidR="00C60288" w:rsidRPr="00DE7A42">
        <w:rPr>
          <w:lang w:val="fr-FR"/>
        </w:rPr>
        <w:t>article 8 qu</w:t>
      </w:r>
      <w:r w:rsidR="00DE7A42" w:rsidRPr="00DE7A42">
        <w:rPr>
          <w:lang w:val="fr-FR"/>
        </w:rPr>
        <w:t>’</w:t>
      </w:r>
      <w:r w:rsidR="00C60288" w:rsidRPr="00DE7A42">
        <w:rPr>
          <w:lang w:val="fr-FR"/>
        </w:rPr>
        <w:t>offrent les disposition</w:t>
      </w:r>
      <w:r w:rsidR="00736479" w:rsidRPr="00DE7A42">
        <w:rPr>
          <w:lang w:val="fr-FR"/>
        </w:rPr>
        <w:t>s</w:t>
      </w:r>
      <w:r w:rsidR="00C60288" w:rsidRPr="00DE7A42">
        <w:rPr>
          <w:lang w:val="fr-FR"/>
        </w:rPr>
        <w:t xml:space="preserve"> du droit interne pertinent.</w:t>
      </w:r>
    </w:p>
    <w:p w:rsidR="00BF4993" w:rsidRPr="00DE7A42" w:rsidRDefault="00C6028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44</w:t>
      </w:r>
      <w:r w:rsidRPr="00DE7A42">
        <w:rPr>
          <w:lang w:val="fr-FR"/>
        </w:rPr>
        <w:fldChar w:fldCharType="end"/>
      </w:r>
      <w:r w:rsidRPr="00DE7A42">
        <w:rPr>
          <w:lang w:val="fr-FR"/>
        </w:rPr>
        <w:t>.  </w:t>
      </w:r>
      <w:r w:rsidR="00BF4993" w:rsidRPr="00DE7A42">
        <w:rPr>
          <w:lang w:val="fr-FR"/>
        </w:rPr>
        <w:t xml:space="preserve">Maîtresse de la qualification juridique des faits de la cause, la Cour ne se considère pas comme liée par celle que leur attribuent les requérants ou les Gouvernements. En vertu du principe </w:t>
      </w:r>
      <w:r w:rsidR="00BF4993" w:rsidRPr="00DE7A42">
        <w:rPr>
          <w:i/>
          <w:lang w:val="fr-FR"/>
        </w:rPr>
        <w:t>jura novit curia</w:t>
      </w:r>
      <w:r w:rsidR="00BF4993" w:rsidRPr="00DE7A42">
        <w:rPr>
          <w:lang w:val="fr-FR"/>
        </w:rPr>
        <w:t>, elle a, par exemple, examiné d</w:t>
      </w:r>
      <w:r w:rsidR="00DE7A42" w:rsidRPr="00DE7A42">
        <w:rPr>
          <w:lang w:val="fr-FR"/>
        </w:rPr>
        <w:t>’</w:t>
      </w:r>
      <w:r w:rsidR="00BF4993" w:rsidRPr="00DE7A42">
        <w:rPr>
          <w:lang w:val="fr-FR"/>
        </w:rPr>
        <w:t>office des griefs sous l</w:t>
      </w:r>
      <w:r w:rsidR="00DE7A42" w:rsidRPr="00DE7A42">
        <w:rPr>
          <w:lang w:val="fr-FR"/>
        </w:rPr>
        <w:t>’</w:t>
      </w:r>
      <w:r w:rsidR="00BF4993" w:rsidRPr="00DE7A42">
        <w:rPr>
          <w:lang w:val="fr-FR"/>
        </w:rPr>
        <w:t>angle d</w:t>
      </w:r>
      <w:r w:rsidR="00DE7A42" w:rsidRPr="00DE7A42">
        <w:rPr>
          <w:lang w:val="fr-FR"/>
        </w:rPr>
        <w:t>’</w:t>
      </w:r>
      <w:r w:rsidR="00BF4993" w:rsidRPr="00DE7A42">
        <w:rPr>
          <w:lang w:val="fr-FR"/>
        </w:rPr>
        <w:t>un article ou paragraphe que n</w:t>
      </w:r>
      <w:r w:rsidR="00DE7A42" w:rsidRPr="00DE7A42">
        <w:rPr>
          <w:lang w:val="fr-FR"/>
        </w:rPr>
        <w:t>’</w:t>
      </w:r>
      <w:r w:rsidR="00BF4993" w:rsidRPr="00DE7A42">
        <w:rPr>
          <w:lang w:val="fr-FR"/>
        </w:rPr>
        <w:t>avaient pas invoqués les parties. Un grief se caractérise par les faits qu</w:t>
      </w:r>
      <w:r w:rsidR="00DE7A42" w:rsidRPr="00DE7A42">
        <w:rPr>
          <w:lang w:val="fr-FR"/>
        </w:rPr>
        <w:t>’</w:t>
      </w:r>
      <w:r w:rsidR="00BF4993" w:rsidRPr="00DE7A42">
        <w:rPr>
          <w:lang w:val="fr-FR"/>
        </w:rPr>
        <w:t xml:space="preserve">il dénonce et non par les simples moyens ou arguments de droit invoqués (voir, </w:t>
      </w:r>
      <w:r w:rsidR="00BF4993" w:rsidRPr="00DE7A42">
        <w:rPr>
          <w:i/>
          <w:lang w:val="fr-FR"/>
        </w:rPr>
        <w:t>mutatis mutandis</w:t>
      </w:r>
      <w:r w:rsidR="00BF4993" w:rsidRPr="00DE7A42">
        <w:rPr>
          <w:lang w:val="fr-FR"/>
        </w:rPr>
        <w:t xml:space="preserve">, </w:t>
      </w:r>
      <w:r w:rsidR="00BF4993" w:rsidRPr="00DE7A42">
        <w:rPr>
          <w:i/>
          <w:lang w:val="fr-FR"/>
        </w:rPr>
        <w:t>Guerra et autres c. Italie</w:t>
      </w:r>
      <w:r w:rsidR="00BF4993" w:rsidRPr="00DE7A42">
        <w:rPr>
          <w:lang w:val="fr-FR"/>
        </w:rPr>
        <w:t xml:space="preserve">, 19 février 1998, § 44, </w:t>
      </w:r>
      <w:r w:rsidR="00BF4993" w:rsidRPr="00DE7A42">
        <w:rPr>
          <w:i/>
          <w:lang w:val="fr-FR"/>
        </w:rPr>
        <w:t>Recueil des arrêts et décisions</w:t>
      </w:r>
      <w:r w:rsidR="00BF4993" w:rsidRPr="00DE7A42">
        <w:rPr>
          <w:lang w:val="fr-FR"/>
        </w:rPr>
        <w:t xml:space="preserve"> 1998</w:t>
      </w:r>
      <w:r w:rsidR="00BF4993" w:rsidRPr="00DE7A42">
        <w:rPr>
          <w:lang w:val="fr-FR"/>
        </w:rPr>
        <w:noBreakHyphen/>
        <w:t xml:space="preserve">I). </w:t>
      </w:r>
      <w:r w:rsidR="001152E8" w:rsidRPr="00DE7A42">
        <w:rPr>
          <w:lang w:val="fr-FR"/>
        </w:rPr>
        <w:t>À</w:t>
      </w:r>
      <w:r w:rsidR="00BF4993" w:rsidRPr="00DE7A42">
        <w:rPr>
          <w:lang w:val="fr-FR"/>
        </w:rPr>
        <w:t xml:space="preserve"> la lumière de ces principes, la Cour estime que le présent grief se prête à être analysé sous l</w:t>
      </w:r>
      <w:r w:rsidR="00DE7A42" w:rsidRPr="00DE7A42">
        <w:rPr>
          <w:lang w:val="fr-FR"/>
        </w:rPr>
        <w:t>’</w:t>
      </w:r>
      <w:r w:rsidR="00BF4993" w:rsidRPr="00DE7A42">
        <w:rPr>
          <w:lang w:val="fr-FR"/>
        </w:rPr>
        <w:t>angle de l</w:t>
      </w:r>
      <w:r w:rsidR="00DE7A42" w:rsidRPr="00DE7A42">
        <w:rPr>
          <w:lang w:val="fr-FR"/>
        </w:rPr>
        <w:t>’</w:t>
      </w:r>
      <w:r w:rsidR="00BF4993" w:rsidRPr="00DE7A42">
        <w:rPr>
          <w:lang w:val="fr-FR"/>
        </w:rPr>
        <w:t>article </w:t>
      </w:r>
      <w:r w:rsidR="00522228" w:rsidRPr="00DE7A42">
        <w:rPr>
          <w:lang w:val="fr-FR"/>
        </w:rPr>
        <w:t>8</w:t>
      </w:r>
      <w:r w:rsidR="00BF4993" w:rsidRPr="00DE7A42">
        <w:rPr>
          <w:lang w:val="fr-FR"/>
        </w:rPr>
        <w:t xml:space="preserve"> de la Convention (voir</w:t>
      </w:r>
      <w:r w:rsidR="00522228" w:rsidRPr="00DE7A42">
        <w:rPr>
          <w:lang w:val="fr-FR"/>
        </w:rPr>
        <w:t xml:space="preserve">, </w:t>
      </w:r>
      <w:r w:rsidR="00522228" w:rsidRPr="00DE7A42">
        <w:rPr>
          <w:i/>
          <w:lang w:val="fr-FR"/>
        </w:rPr>
        <w:t>mutatis mutandis</w:t>
      </w:r>
      <w:r w:rsidR="00522228" w:rsidRPr="00DE7A42">
        <w:rPr>
          <w:lang w:val="fr-FR"/>
        </w:rPr>
        <w:t xml:space="preserve">, </w:t>
      </w:r>
      <w:r w:rsidR="00522228" w:rsidRPr="00DE7A42">
        <w:rPr>
          <w:i/>
          <w:lang w:val="fr-FR"/>
        </w:rPr>
        <w:t>Ferrari c. Roumanie</w:t>
      </w:r>
      <w:r w:rsidR="00522228" w:rsidRPr="00DE7A42">
        <w:rPr>
          <w:lang w:val="fr-FR"/>
        </w:rPr>
        <w:t>, n</w:t>
      </w:r>
      <w:r w:rsidR="004831D1" w:rsidRPr="00DE7A42">
        <w:rPr>
          <w:vertAlign w:val="superscript"/>
          <w:lang w:val="fr-FR"/>
        </w:rPr>
        <w:t>o</w:t>
      </w:r>
      <w:r w:rsidR="00522228" w:rsidRPr="00DE7A42">
        <w:rPr>
          <w:lang w:val="fr-FR"/>
        </w:rPr>
        <w:t> 1714/10, 28 avril 2015</w:t>
      </w:r>
      <w:r w:rsidR="00BF4993" w:rsidRPr="00DE7A42">
        <w:rPr>
          <w:snapToGrid w:val="0"/>
          <w:lang w:val="fr-FR"/>
        </w:rPr>
        <w:t xml:space="preserve">), qui </w:t>
      </w:r>
      <w:r w:rsidR="00BF4993" w:rsidRPr="00DE7A42">
        <w:rPr>
          <w:lang w:val="fr-FR"/>
        </w:rPr>
        <w:t>est ainsi libellé :</w:t>
      </w:r>
    </w:p>
    <w:p w:rsidR="00C60288" w:rsidRPr="00DE7A42" w:rsidRDefault="00C60288" w:rsidP="00DE7A42">
      <w:pPr>
        <w:pStyle w:val="ECHRParaQuote"/>
        <w:rPr>
          <w:lang w:val="fr-FR"/>
        </w:rPr>
      </w:pPr>
      <w:r w:rsidRPr="00DE7A42">
        <w:rPr>
          <w:lang w:val="fr-FR"/>
        </w:rPr>
        <w:t>« 1.  Toute personne a droit au respect de sa vie privée et familiale, de son domicile et de sa correspondance.</w:t>
      </w:r>
    </w:p>
    <w:p w:rsidR="00E77CB3" w:rsidRPr="00DE7A42" w:rsidRDefault="00C60288" w:rsidP="00DE7A42">
      <w:pPr>
        <w:pStyle w:val="ECHRParaQuote"/>
        <w:rPr>
          <w:lang w:val="fr-FR"/>
        </w:rPr>
      </w:pPr>
      <w:r w:rsidRPr="00DE7A42">
        <w:rPr>
          <w:lang w:val="fr-FR"/>
        </w:rPr>
        <w:t>2.  Il ne peut y avoir ingérence d</w:t>
      </w:r>
      <w:r w:rsidR="00DE7A42" w:rsidRPr="00DE7A42">
        <w:rPr>
          <w:lang w:val="fr-FR"/>
        </w:rPr>
        <w:t>’</w:t>
      </w:r>
      <w:r w:rsidRPr="00DE7A42">
        <w:rPr>
          <w:lang w:val="fr-FR"/>
        </w:rPr>
        <w:t>une autorité publique dans l</w:t>
      </w:r>
      <w:r w:rsidR="00DE7A42" w:rsidRPr="00DE7A42">
        <w:rPr>
          <w:lang w:val="fr-FR"/>
        </w:rPr>
        <w:t>’</w:t>
      </w:r>
      <w:r w:rsidRPr="00DE7A42">
        <w:rPr>
          <w:lang w:val="fr-FR"/>
        </w:rPr>
        <w:t>exercice de ce droit que pour autant que cette ingérence est prévue par la loi et qu</w:t>
      </w:r>
      <w:r w:rsidR="00DE7A42" w:rsidRPr="00DE7A42">
        <w:rPr>
          <w:lang w:val="fr-FR"/>
        </w:rPr>
        <w:t>’</w:t>
      </w:r>
      <w:r w:rsidRPr="00DE7A42">
        <w:rPr>
          <w:lang w:val="fr-FR"/>
        </w:rPr>
        <w:t>elle constitue une mesure qui, dans une société démocratique, est nécessaire à la sécurité nationale, à la sûreté publique, au bien</w:t>
      </w:r>
      <w:r w:rsidRPr="00DE7A42">
        <w:rPr>
          <w:lang w:val="fr-FR"/>
        </w:rPr>
        <w:noBreakHyphen/>
        <w:t>être économique du pays, à la défense de l</w:t>
      </w:r>
      <w:r w:rsidR="00DE7A42" w:rsidRPr="00DE7A42">
        <w:rPr>
          <w:lang w:val="fr-FR"/>
        </w:rPr>
        <w:t>’</w:t>
      </w:r>
      <w:r w:rsidRPr="00DE7A42">
        <w:rPr>
          <w:lang w:val="fr-FR"/>
        </w:rPr>
        <w:t>ordre et à la prévention des infractions pénales, à la protection de la santé ou de la morale, ou à la protection des droits et libertés d</w:t>
      </w:r>
      <w:r w:rsidR="00DE7A42" w:rsidRPr="00DE7A42">
        <w:rPr>
          <w:lang w:val="fr-FR"/>
        </w:rPr>
        <w:t>’</w:t>
      </w:r>
      <w:r w:rsidRPr="00DE7A42">
        <w:rPr>
          <w:lang w:val="fr-FR"/>
        </w:rPr>
        <w:t>autrui. »</w:t>
      </w:r>
    </w:p>
    <w:p w:rsidR="00E77CB3" w:rsidRPr="00DE7A42" w:rsidRDefault="00E77CB3" w:rsidP="00DE7A42">
      <w:pPr>
        <w:pStyle w:val="ECHRHeading2"/>
        <w:outlineLvl w:val="0"/>
        <w:rPr>
          <w:lang w:val="fr-FR"/>
        </w:rPr>
      </w:pPr>
      <w:r w:rsidRPr="00DE7A42">
        <w:rPr>
          <w:lang w:val="fr-FR"/>
        </w:rPr>
        <w:t>A.  Sur la recevabilité</w:t>
      </w:r>
    </w:p>
    <w:p w:rsidR="00E41BA5"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45</w:t>
      </w:r>
      <w:r w:rsidRPr="00DE7A42">
        <w:rPr>
          <w:lang w:val="fr-FR"/>
        </w:rPr>
        <w:fldChar w:fldCharType="end"/>
      </w:r>
      <w:r w:rsidR="00E77CB3" w:rsidRPr="00DE7A42">
        <w:rPr>
          <w:lang w:val="fr-FR"/>
        </w:rPr>
        <w:t>.  </w:t>
      </w:r>
      <w:r w:rsidR="00E41BA5" w:rsidRPr="00DE7A42">
        <w:rPr>
          <w:lang w:val="fr-FR"/>
        </w:rPr>
        <w:t>Le Gouvernement invite la Cour à rejeter la requête comme prématurée : la procédure engagée par le requérant le 22 octobre 2010</w:t>
      </w:r>
      <w:r w:rsidR="00FB39A8" w:rsidRPr="00DE7A42">
        <w:rPr>
          <w:lang w:val="fr-FR"/>
        </w:rPr>
        <w:t xml:space="preserve"> par laquelle celui-ci demande que le tribunal lui confie la garde des enfants, invoquant entre autres, l</w:t>
      </w:r>
      <w:r w:rsidR="00DE7A42" w:rsidRPr="00DE7A42">
        <w:rPr>
          <w:lang w:val="fr-FR"/>
        </w:rPr>
        <w:t>’</w:t>
      </w:r>
      <w:r w:rsidR="00FB39A8" w:rsidRPr="00DE7A42">
        <w:rPr>
          <w:lang w:val="fr-FR"/>
        </w:rPr>
        <w:t>attitude d</w:t>
      </w:r>
      <w:r w:rsidR="00DE7A42" w:rsidRPr="00DE7A42">
        <w:rPr>
          <w:lang w:val="fr-FR"/>
        </w:rPr>
        <w:t>’</w:t>
      </w:r>
      <w:r w:rsidR="00FB39A8" w:rsidRPr="00DE7A42">
        <w:rPr>
          <w:lang w:val="fr-FR"/>
        </w:rPr>
        <w:t>I.P. au regard du droit de visite de celui-ci, est encore pendante. Or, la décision du tribunal réglera aussi de manière définitive la question cruciale du droit de visite.</w:t>
      </w:r>
    </w:p>
    <w:p w:rsidR="00DE7A42" w:rsidRPr="00DE7A42" w:rsidRDefault="001E6E01"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46</w:t>
      </w:r>
      <w:r w:rsidRPr="00DE7A42">
        <w:rPr>
          <w:lang w:val="fr-FR"/>
        </w:rPr>
        <w:fldChar w:fldCharType="end"/>
      </w:r>
      <w:r w:rsidRPr="00DE7A42">
        <w:rPr>
          <w:lang w:val="fr-FR"/>
        </w:rPr>
        <w:t xml:space="preserve">.  Le requérant </w:t>
      </w:r>
      <w:r w:rsidR="00A05853" w:rsidRPr="00DE7A42">
        <w:rPr>
          <w:lang w:val="fr-FR"/>
        </w:rPr>
        <w:t>rétorque que l</w:t>
      </w:r>
      <w:r w:rsidR="00DE7A42" w:rsidRPr="00DE7A42">
        <w:rPr>
          <w:lang w:val="fr-FR"/>
        </w:rPr>
        <w:t>’</w:t>
      </w:r>
      <w:r w:rsidR="00A05853" w:rsidRPr="00DE7A42">
        <w:rPr>
          <w:lang w:val="fr-FR"/>
        </w:rPr>
        <w:t>objet de sa requête consiste à dénoncer l</w:t>
      </w:r>
      <w:r w:rsidR="00DE7A42" w:rsidRPr="00DE7A42">
        <w:rPr>
          <w:lang w:val="fr-FR"/>
        </w:rPr>
        <w:t>’</w:t>
      </w:r>
      <w:r w:rsidR="00A05853" w:rsidRPr="00DE7A42">
        <w:rPr>
          <w:lang w:val="fr-FR"/>
        </w:rPr>
        <w:t xml:space="preserve">omission des autorités </w:t>
      </w:r>
      <w:r w:rsidR="001152E8" w:rsidRPr="00DE7A42">
        <w:rPr>
          <w:lang w:val="fr-FR"/>
        </w:rPr>
        <w:t>à</w:t>
      </w:r>
      <w:r w:rsidR="00A05853" w:rsidRPr="00DE7A42">
        <w:rPr>
          <w:lang w:val="fr-FR"/>
        </w:rPr>
        <w:t xml:space="preserve"> prendre des mesures adéquates pour faire appliquer les décisions judiciaires déjà adoptées </w:t>
      </w:r>
      <w:r w:rsidR="00AD6DA8" w:rsidRPr="00DE7A42">
        <w:rPr>
          <w:lang w:val="fr-FR"/>
        </w:rPr>
        <w:t>et de protéger ainsi ses relations avec ses enfants. Ni la procédure qu</w:t>
      </w:r>
      <w:r w:rsidR="00DE7A42" w:rsidRPr="00DE7A42">
        <w:rPr>
          <w:lang w:val="fr-FR"/>
        </w:rPr>
        <w:t>’</w:t>
      </w:r>
      <w:r w:rsidR="00AD6DA8" w:rsidRPr="00DE7A42">
        <w:rPr>
          <w:lang w:val="fr-FR"/>
        </w:rPr>
        <w:t>il a engagée le 22 octobre 2010 ni les nombreuses plaintes qu</w:t>
      </w:r>
      <w:r w:rsidR="00DE7A42" w:rsidRPr="00DE7A42">
        <w:rPr>
          <w:lang w:val="fr-FR"/>
        </w:rPr>
        <w:t>’</w:t>
      </w:r>
      <w:r w:rsidR="00AD6DA8" w:rsidRPr="00DE7A42">
        <w:rPr>
          <w:lang w:val="fr-FR"/>
        </w:rPr>
        <w:t>il a portées contre I.P. pou</w:t>
      </w:r>
      <w:r w:rsidR="001152E8" w:rsidRPr="00DE7A42">
        <w:rPr>
          <w:lang w:val="fr-FR"/>
        </w:rPr>
        <w:t>v</w:t>
      </w:r>
      <w:r w:rsidR="00AD6DA8" w:rsidRPr="00DE7A42">
        <w:rPr>
          <w:lang w:val="fr-FR"/>
        </w:rPr>
        <w:t>aient avoir un effet à cet égard, en raison des délais</w:t>
      </w:r>
      <w:r w:rsidR="001152E8" w:rsidRPr="00DE7A42">
        <w:rPr>
          <w:lang w:val="fr-FR"/>
        </w:rPr>
        <w:t xml:space="preserve"> très longs</w:t>
      </w:r>
      <w:r w:rsidR="00AD6DA8" w:rsidRPr="00DE7A42">
        <w:rPr>
          <w:lang w:val="fr-FR"/>
        </w:rPr>
        <w:t xml:space="preserve"> </w:t>
      </w:r>
      <w:r w:rsidR="001152E8" w:rsidRPr="00DE7A42">
        <w:rPr>
          <w:lang w:val="fr-FR"/>
        </w:rPr>
        <w:t>pour leur exame</w:t>
      </w:r>
      <w:r w:rsidR="00AD6DA8" w:rsidRPr="00DE7A42">
        <w:rPr>
          <w:lang w:val="fr-FR"/>
        </w:rPr>
        <w:t>n. Le requérant estime que l</w:t>
      </w:r>
      <w:r w:rsidR="00DE7A42" w:rsidRPr="00DE7A42">
        <w:rPr>
          <w:lang w:val="fr-FR"/>
        </w:rPr>
        <w:t>’</w:t>
      </w:r>
      <w:r w:rsidR="00AD6DA8" w:rsidRPr="00DE7A42">
        <w:rPr>
          <w:lang w:val="fr-FR"/>
        </w:rPr>
        <w:t>audience concernant sa première plainte du 18 février 2011 ne sera pas fixé avant la fin 2016 et, à supposer même qu</w:t>
      </w:r>
      <w:r w:rsidR="00DE7A42" w:rsidRPr="00DE7A42">
        <w:rPr>
          <w:lang w:val="fr-FR"/>
        </w:rPr>
        <w:t>’</w:t>
      </w:r>
      <w:r w:rsidR="00AD6DA8" w:rsidRPr="00DE7A42">
        <w:rPr>
          <w:lang w:val="fr-FR"/>
        </w:rPr>
        <w:t xml:space="preserve">I.P. soit condamnée, beaucoup de temps </w:t>
      </w:r>
      <w:r w:rsidR="001152E8" w:rsidRPr="00DE7A42">
        <w:rPr>
          <w:lang w:val="fr-FR"/>
        </w:rPr>
        <w:t>se sera écoulé</w:t>
      </w:r>
      <w:r w:rsidR="00AD6DA8" w:rsidRPr="00DE7A42">
        <w:rPr>
          <w:lang w:val="fr-FR"/>
        </w:rPr>
        <w:t xml:space="preserve"> et les enfants auront atteint l</w:t>
      </w:r>
      <w:r w:rsidR="00DE7A42" w:rsidRPr="00DE7A42">
        <w:rPr>
          <w:lang w:val="fr-FR"/>
        </w:rPr>
        <w:t>’</w:t>
      </w:r>
      <w:r w:rsidR="00AD6DA8" w:rsidRPr="00DE7A42">
        <w:rPr>
          <w:lang w:val="fr-FR"/>
        </w:rPr>
        <w:t>âge de douze ans. En cas d</w:t>
      </w:r>
      <w:r w:rsidR="00DE7A42" w:rsidRPr="00DE7A42">
        <w:rPr>
          <w:lang w:val="fr-FR"/>
        </w:rPr>
        <w:t>’</w:t>
      </w:r>
      <w:r w:rsidR="00AD6DA8" w:rsidRPr="00DE7A42">
        <w:rPr>
          <w:lang w:val="fr-FR"/>
        </w:rPr>
        <w:t>appel, il faudra encore compter six ans supplémentaires de procédure.</w:t>
      </w:r>
    </w:p>
    <w:p w:rsidR="00482C12" w:rsidRPr="00DE7A42" w:rsidRDefault="00A270F1"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47</w:t>
      </w:r>
      <w:r w:rsidRPr="00DE7A42">
        <w:rPr>
          <w:lang w:val="fr-FR"/>
        </w:rPr>
        <w:fldChar w:fldCharType="end"/>
      </w:r>
      <w:r w:rsidRPr="00DE7A42">
        <w:rPr>
          <w:lang w:val="fr-FR"/>
        </w:rPr>
        <w:t>.  </w:t>
      </w:r>
      <w:r w:rsidR="00795FAE" w:rsidRPr="00DE7A42">
        <w:rPr>
          <w:lang w:val="fr-FR"/>
        </w:rPr>
        <w:t>La Cour estime que l</w:t>
      </w:r>
      <w:r w:rsidR="00DE7A42" w:rsidRPr="00DE7A42">
        <w:rPr>
          <w:lang w:val="fr-FR"/>
        </w:rPr>
        <w:t>’</w:t>
      </w:r>
      <w:r w:rsidR="00795FAE" w:rsidRPr="00DE7A42">
        <w:rPr>
          <w:lang w:val="fr-FR"/>
        </w:rPr>
        <w:t>exception du Gouvernement qui a trait à la procédure principale ne concerne pas le grief du requérant relatif à l</w:t>
      </w:r>
      <w:r w:rsidR="00DE7A42" w:rsidRPr="00DE7A42">
        <w:rPr>
          <w:lang w:val="fr-FR"/>
        </w:rPr>
        <w:t>’</w:t>
      </w:r>
      <w:r w:rsidR="00795FAE" w:rsidRPr="00DE7A42">
        <w:rPr>
          <w:lang w:val="fr-FR"/>
        </w:rPr>
        <w:t>impossibilité d</w:t>
      </w:r>
      <w:r w:rsidR="00DE7A42" w:rsidRPr="00DE7A42">
        <w:rPr>
          <w:lang w:val="fr-FR"/>
        </w:rPr>
        <w:t>’</w:t>
      </w:r>
      <w:r w:rsidR="00795FAE" w:rsidRPr="00DE7A42">
        <w:rPr>
          <w:lang w:val="fr-FR"/>
        </w:rPr>
        <w:t>exercer son droit de visite et il convient donc de la rejeter. Quant aux procédures évoquées par le requérant, la Cour relève que le Gouvernement n</w:t>
      </w:r>
      <w:r w:rsidR="00DE7A42" w:rsidRPr="00DE7A42">
        <w:rPr>
          <w:lang w:val="fr-FR"/>
        </w:rPr>
        <w:t>’</w:t>
      </w:r>
      <w:r w:rsidR="00795FAE" w:rsidRPr="00DE7A42">
        <w:rPr>
          <w:lang w:val="fr-FR"/>
        </w:rPr>
        <w:t xml:space="preserve">excipe </w:t>
      </w:r>
      <w:r w:rsidR="003377BA" w:rsidRPr="00DE7A42">
        <w:rPr>
          <w:lang w:val="fr-FR"/>
        </w:rPr>
        <w:t xml:space="preserve">pas </w:t>
      </w:r>
      <w:r w:rsidR="00795FAE" w:rsidRPr="00DE7A42">
        <w:rPr>
          <w:lang w:val="fr-FR"/>
        </w:rPr>
        <w:t>du non-épuisement des voies de recours internes du fait que le requérant s</w:t>
      </w:r>
      <w:r w:rsidR="00DE7A42" w:rsidRPr="00DE7A42">
        <w:rPr>
          <w:lang w:val="fr-FR"/>
        </w:rPr>
        <w:t>’</w:t>
      </w:r>
      <w:r w:rsidR="00795FAE" w:rsidRPr="00DE7A42">
        <w:rPr>
          <w:lang w:val="fr-FR"/>
        </w:rPr>
        <w:t>en est désisté (paragraphe 21 ci-dessus)</w:t>
      </w:r>
      <w:r w:rsidR="003377BA" w:rsidRPr="00DE7A42">
        <w:rPr>
          <w:lang w:val="fr-FR"/>
        </w:rPr>
        <w:t xml:space="preserve"> et qu</w:t>
      </w:r>
      <w:r w:rsidR="00DE7A42" w:rsidRPr="00DE7A42">
        <w:rPr>
          <w:lang w:val="fr-FR"/>
        </w:rPr>
        <w:t>’</w:t>
      </w:r>
      <w:r w:rsidR="003377BA" w:rsidRPr="00DE7A42">
        <w:rPr>
          <w:lang w:val="fr-FR"/>
        </w:rPr>
        <w:t>il ne lui appartient donc pas de s</w:t>
      </w:r>
      <w:r w:rsidR="00DE7A42" w:rsidRPr="00DE7A42">
        <w:rPr>
          <w:lang w:val="fr-FR"/>
        </w:rPr>
        <w:t>’</w:t>
      </w:r>
      <w:r w:rsidR="003377BA" w:rsidRPr="00DE7A42">
        <w:rPr>
          <w:lang w:val="fr-FR"/>
        </w:rPr>
        <w:t>y prononcer d</w:t>
      </w:r>
      <w:r w:rsidR="00DE7A42" w:rsidRPr="00DE7A42">
        <w:rPr>
          <w:lang w:val="fr-FR"/>
        </w:rPr>
        <w:t>’</w:t>
      </w:r>
      <w:r w:rsidR="003377BA" w:rsidRPr="00DE7A42">
        <w:rPr>
          <w:lang w:val="fr-FR"/>
        </w:rPr>
        <w:t>office.</w:t>
      </w:r>
    </w:p>
    <w:p w:rsidR="00E77CB3" w:rsidRPr="00DE7A42" w:rsidRDefault="002D4C3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48</w:t>
      </w:r>
      <w:r w:rsidRPr="00DE7A42">
        <w:rPr>
          <w:lang w:val="fr-FR"/>
        </w:rPr>
        <w:fldChar w:fldCharType="end"/>
      </w:r>
      <w:r w:rsidRPr="00DE7A42">
        <w:rPr>
          <w:lang w:val="fr-FR"/>
        </w:rPr>
        <w:t>.  </w:t>
      </w:r>
      <w:r w:rsidR="00E77CB3" w:rsidRPr="00DE7A42">
        <w:rPr>
          <w:lang w:val="fr-FR"/>
        </w:rPr>
        <w:t>La Cour constate</w:t>
      </w:r>
      <w:r w:rsidRPr="00DE7A42">
        <w:rPr>
          <w:lang w:val="fr-FR"/>
        </w:rPr>
        <w:t>, en outre,</w:t>
      </w:r>
      <w:r w:rsidR="00E77CB3" w:rsidRPr="00DE7A42">
        <w:rPr>
          <w:lang w:val="fr-FR"/>
        </w:rPr>
        <w:t xml:space="preserve"> que </w:t>
      </w:r>
      <w:r w:rsidR="00B60430" w:rsidRPr="00DE7A42">
        <w:rPr>
          <w:lang w:val="fr-FR"/>
        </w:rPr>
        <w:t>la requête</w:t>
      </w:r>
      <w:r w:rsidR="00E77CB3" w:rsidRPr="00DE7A42">
        <w:rPr>
          <w:lang w:val="fr-FR"/>
        </w:rPr>
        <w:t xml:space="preserve"> n</w:t>
      </w:r>
      <w:r w:rsidR="00DE7A42" w:rsidRPr="00DE7A42">
        <w:rPr>
          <w:lang w:val="fr-FR"/>
        </w:rPr>
        <w:t>’</w:t>
      </w:r>
      <w:r w:rsidR="00E77CB3" w:rsidRPr="00DE7A42">
        <w:rPr>
          <w:lang w:val="fr-FR"/>
        </w:rPr>
        <w:t>est pas manifestement mal fondée au sens de l</w:t>
      </w:r>
      <w:r w:rsidR="00DE7A42" w:rsidRPr="00DE7A42">
        <w:rPr>
          <w:lang w:val="fr-FR"/>
        </w:rPr>
        <w:t>’</w:t>
      </w:r>
      <w:r w:rsidR="00E77CB3" w:rsidRPr="00DE7A42">
        <w:rPr>
          <w:lang w:val="fr-FR"/>
        </w:rPr>
        <w:t>article 35 § 3 a) de la Convention</w:t>
      </w:r>
      <w:r w:rsidR="00694A2E" w:rsidRPr="00DE7A42">
        <w:rPr>
          <w:lang w:val="fr-FR"/>
        </w:rPr>
        <w:t xml:space="preserve"> et qu</w:t>
      </w:r>
      <w:r w:rsidR="00DE7A42" w:rsidRPr="00DE7A42">
        <w:rPr>
          <w:lang w:val="fr-FR"/>
        </w:rPr>
        <w:t>’</w:t>
      </w:r>
      <w:r w:rsidR="00694A2E" w:rsidRPr="00DE7A42">
        <w:rPr>
          <w:lang w:val="fr-FR"/>
        </w:rPr>
        <w:t xml:space="preserve">elle ne se heurte par ailleurs </w:t>
      </w:r>
      <w:r w:rsidR="00E77CB3" w:rsidRPr="00DE7A42">
        <w:rPr>
          <w:lang w:val="fr-FR"/>
        </w:rPr>
        <w:t>à aucun autre motif d</w:t>
      </w:r>
      <w:r w:rsidR="00DE7A42" w:rsidRPr="00DE7A42">
        <w:rPr>
          <w:lang w:val="fr-FR"/>
        </w:rPr>
        <w:t>’</w:t>
      </w:r>
      <w:r w:rsidR="00E77CB3" w:rsidRPr="00DE7A42">
        <w:rPr>
          <w:lang w:val="fr-FR"/>
        </w:rPr>
        <w:t>irrecevabilité</w:t>
      </w:r>
      <w:r w:rsidR="00875AB3" w:rsidRPr="00DE7A42">
        <w:rPr>
          <w:lang w:val="fr-FR"/>
        </w:rPr>
        <w:t>. Elle</w:t>
      </w:r>
      <w:r w:rsidR="000F00EF" w:rsidRPr="00DE7A42">
        <w:rPr>
          <w:lang w:val="fr-FR"/>
        </w:rPr>
        <w:t xml:space="preserve"> la déclare </w:t>
      </w:r>
      <w:r w:rsidR="00875AB3" w:rsidRPr="00DE7A42">
        <w:rPr>
          <w:lang w:val="fr-FR"/>
        </w:rPr>
        <w:t xml:space="preserve">donc </w:t>
      </w:r>
      <w:r w:rsidR="000F00EF" w:rsidRPr="00DE7A42">
        <w:rPr>
          <w:lang w:val="fr-FR"/>
        </w:rPr>
        <w:t>recevable</w:t>
      </w:r>
      <w:r w:rsidR="00E77CB3" w:rsidRPr="00DE7A42">
        <w:rPr>
          <w:lang w:val="fr-FR"/>
        </w:rPr>
        <w:t>.</w:t>
      </w:r>
    </w:p>
    <w:p w:rsidR="00E77CB3" w:rsidRPr="00DE7A42" w:rsidRDefault="00E77CB3" w:rsidP="00DE7A42">
      <w:pPr>
        <w:pStyle w:val="ECHRHeading2"/>
        <w:outlineLvl w:val="0"/>
        <w:rPr>
          <w:lang w:val="fr-FR"/>
        </w:rPr>
      </w:pPr>
      <w:r w:rsidRPr="00DE7A42">
        <w:rPr>
          <w:lang w:val="fr-FR"/>
        </w:rPr>
        <w:t>B.  Sur le fond</w:t>
      </w:r>
    </w:p>
    <w:p w:rsidR="00673104" w:rsidRPr="00DE7A42" w:rsidRDefault="00673104" w:rsidP="00DE7A42">
      <w:pPr>
        <w:pStyle w:val="ECHRHeading3"/>
        <w:rPr>
          <w:lang w:val="fr-FR"/>
        </w:rPr>
      </w:pPr>
      <w:r w:rsidRPr="00DE7A42">
        <w:rPr>
          <w:lang w:val="fr-FR"/>
        </w:rPr>
        <w:t>1.  Thèses des parties</w:t>
      </w:r>
    </w:p>
    <w:p w:rsidR="00705C08" w:rsidRPr="00DE7A42" w:rsidRDefault="00ED2E7E" w:rsidP="00DE7A42">
      <w:pPr>
        <w:pStyle w:val="ECHRHeading4"/>
        <w:rPr>
          <w:lang w:val="fr-FR"/>
        </w:rPr>
      </w:pPr>
      <w:r w:rsidRPr="00DE7A42">
        <w:rPr>
          <w:lang w:val="fr-FR"/>
        </w:rPr>
        <w:t>a</w:t>
      </w:r>
      <w:r w:rsidR="00705C08" w:rsidRPr="00DE7A42">
        <w:rPr>
          <w:lang w:val="fr-FR"/>
        </w:rPr>
        <w:t>)  Le requérant</w:t>
      </w:r>
    </w:p>
    <w:p w:rsidR="00D34BBA" w:rsidRPr="00DE7A42" w:rsidRDefault="00E01B03"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49</w:t>
      </w:r>
      <w:r w:rsidRPr="00DE7A42">
        <w:rPr>
          <w:lang w:val="fr-FR"/>
        </w:rPr>
        <w:fldChar w:fldCharType="end"/>
      </w:r>
      <w:r w:rsidRPr="00DE7A42">
        <w:rPr>
          <w:lang w:val="fr-FR"/>
        </w:rPr>
        <w:t>.  </w:t>
      </w:r>
      <w:r w:rsidR="00D34BBA" w:rsidRPr="00DE7A42">
        <w:rPr>
          <w:lang w:val="fr-FR"/>
        </w:rPr>
        <w:t>Le requérant soutient d</w:t>
      </w:r>
      <w:r w:rsidR="00DE7A42" w:rsidRPr="00DE7A42">
        <w:rPr>
          <w:lang w:val="fr-FR"/>
        </w:rPr>
        <w:t>’</w:t>
      </w:r>
      <w:r w:rsidR="00D34BBA" w:rsidRPr="00DE7A42">
        <w:rPr>
          <w:lang w:val="fr-FR"/>
        </w:rPr>
        <w:t xml:space="preserve">abord que, contrairement à ce </w:t>
      </w:r>
      <w:r w:rsidR="00DA7805" w:rsidRPr="00DE7A42">
        <w:rPr>
          <w:lang w:val="fr-FR"/>
        </w:rPr>
        <w:t>qu</w:t>
      </w:r>
      <w:r w:rsidR="00DE7A42" w:rsidRPr="00DE7A42">
        <w:rPr>
          <w:lang w:val="fr-FR"/>
        </w:rPr>
        <w:t>’</w:t>
      </w:r>
      <w:r w:rsidR="00DA7805" w:rsidRPr="00DE7A42">
        <w:rPr>
          <w:lang w:val="fr-FR"/>
        </w:rPr>
        <w:t>affirme</w:t>
      </w:r>
      <w:r w:rsidR="00D34BBA" w:rsidRPr="00DE7A42">
        <w:rPr>
          <w:lang w:val="fr-FR"/>
        </w:rPr>
        <w:t xml:space="preserve"> le Gouvernement, la législation nationale ne prévoit aucun moyen « de faire exécuter indirectement » un ordre du tribunal relatif au droit de visite. L</w:t>
      </w:r>
      <w:r w:rsidR="00DE7A42" w:rsidRPr="00DE7A42">
        <w:rPr>
          <w:lang w:val="fr-FR"/>
        </w:rPr>
        <w:t>’</w:t>
      </w:r>
      <w:r w:rsidR="00D34BBA" w:rsidRPr="00DE7A42">
        <w:rPr>
          <w:lang w:val="fr-FR"/>
        </w:rPr>
        <w:t>article 950 § 2 du code de procédure civile prévoit en réalité une procédure « théorique » et « illusoire » : une mère qui fait obstacle aux contacts des enfants avec leur père ne craint pas d</w:t>
      </w:r>
      <w:r w:rsidR="00DE7A42" w:rsidRPr="00DE7A42">
        <w:rPr>
          <w:lang w:val="fr-FR"/>
        </w:rPr>
        <w:t>’</w:t>
      </w:r>
      <w:r w:rsidR="00D34BBA" w:rsidRPr="00DE7A42">
        <w:rPr>
          <w:lang w:val="fr-FR"/>
        </w:rPr>
        <w:t xml:space="preserve">être mise en détention en raison </w:t>
      </w:r>
      <w:r w:rsidR="00DA7805" w:rsidRPr="00DE7A42">
        <w:rPr>
          <w:lang w:val="fr-FR"/>
        </w:rPr>
        <w:t xml:space="preserve">surtout </w:t>
      </w:r>
      <w:r w:rsidR="00D34BBA" w:rsidRPr="00DE7A42">
        <w:rPr>
          <w:lang w:val="fr-FR"/>
        </w:rPr>
        <w:t>des délais très longs d</w:t>
      </w:r>
      <w:r w:rsidR="00DE7A42" w:rsidRPr="00DE7A42">
        <w:rPr>
          <w:lang w:val="fr-FR"/>
        </w:rPr>
        <w:t>’</w:t>
      </w:r>
      <w:r w:rsidR="00D34BBA" w:rsidRPr="00DE7A42">
        <w:rPr>
          <w:lang w:val="fr-FR"/>
        </w:rPr>
        <w:t xml:space="preserve">une telle procédure. </w:t>
      </w:r>
      <w:r w:rsidR="00D97C5C" w:rsidRPr="00DE7A42">
        <w:rPr>
          <w:lang w:val="fr-FR"/>
        </w:rPr>
        <w:t>La mère peut être certaine que lorsque l</w:t>
      </w:r>
      <w:r w:rsidR="00DE7A42" w:rsidRPr="00DE7A42">
        <w:rPr>
          <w:lang w:val="fr-FR"/>
        </w:rPr>
        <w:t>’</w:t>
      </w:r>
      <w:r w:rsidR="00D97C5C" w:rsidRPr="00DE7A42">
        <w:rPr>
          <w:lang w:val="fr-FR"/>
        </w:rPr>
        <w:t xml:space="preserve">audience aura lieu, les enfants devenus entretemps adolescents ou adultes </w:t>
      </w:r>
      <w:r w:rsidR="00DA7805" w:rsidRPr="00DE7A42">
        <w:rPr>
          <w:lang w:val="fr-FR"/>
        </w:rPr>
        <w:t>la soutiendront</w:t>
      </w:r>
      <w:r w:rsidR="00D97C5C" w:rsidRPr="00DE7A42">
        <w:rPr>
          <w:lang w:val="fr-FR"/>
        </w:rPr>
        <w:t xml:space="preserve"> en assumant pleinement la responsabilité de leur refus de rencontrer leur père. En outre, l</w:t>
      </w:r>
      <w:r w:rsidR="00DE7A42" w:rsidRPr="00DE7A42">
        <w:rPr>
          <w:lang w:val="fr-FR"/>
        </w:rPr>
        <w:t>’</w:t>
      </w:r>
      <w:r w:rsidR="00D97C5C" w:rsidRPr="00DE7A42">
        <w:rPr>
          <w:lang w:val="fr-FR"/>
        </w:rPr>
        <w:t xml:space="preserve">article 232A du code pénal ne peut pas </w:t>
      </w:r>
      <w:r w:rsidR="001D6F63" w:rsidRPr="00DE7A42">
        <w:rPr>
          <w:lang w:val="fr-FR"/>
        </w:rPr>
        <w:t xml:space="preserve">non plus </w:t>
      </w:r>
      <w:r w:rsidR="00736479" w:rsidRPr="00DE7A42">
        <w:rPr>
          <w:lang w:val="fr-FR"/>
        </w:rPr>
        <w:t xml:space="preserve">être </w:t>
      </w:r>
      <w:r w:rsidR="001D6F63" w:rsidRPr="00DE7A42">
        <w:rPr>
          <w:lang w:val="fr-FR"/>
        </w:rPr>
        <w:t>considéré</w:t>
      </w:r>
      <w:r w:rsidR="00D97C5C" w:rsidRPr="00DE7A42">
        <w:rPr>
          <w:lang w:val="fr-FR"/>
        </w:rPr>
        <w:t xml:space="preserve"> comme un recours de nature à</w:t>
      </w:r>
      <w:r w:rsidR="00A9196D" w:rsidRPr="00DE7A42">
        <w:rPr>
          <w:lang w:val="fr-FR"/>
        </w:rPr>
        <w:t xml:space="preserve"> garantir les droits parentaux : la procédure relative à une plainte pour non-exécution d</w:t>
      </w:r>
      <w:r w:rsidR="00DE7A42" w:rsidRPr="00DE7A42">
        <w:rPr>
          <w:lang w:val="fr-FR"/>
        </w:rPr>
        <w:t>’</w:t>
      </w:r>
      <w:r w:rsidR="00A9196D" w:rsidRPr="00DE7A42">
        <w:rPr>
          <w:lang w:val="fr-FR"/>
        </w:rPr>
        <w:t>une décision judiciaire est très longue car il faut compter en moyenne trois ans en première instance et cinq ans en appel.</w:t>
      </w:r>
    </w:p>
    <w:p w:rsidR="00DE7A42" w:rsidRPr="00DE7A42" w:rsidRDefault="00232924"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50</w:t>
      </w:r>
      <w:r w:rsidRPr="00DE7A42">
        <w:rPr>
          <w:lang w:val="fr-FR"/>
        </w:rPr>
        <w:fldChar w:fldCharType="end"/>
      </w:r>
      <w:r w:rsidRPr="00DE7A42">
        <w:rPr>
          <w:lang w:val="fr-FR"/>
        </w:rPr>
        <w:t xml:space="preserve">.  Le requérant </w:t>
      </w:r>
      <w:r w:rsidR="001D6F63" w:rsidRPr="00DE7A42">
        <w:rPr>
          <w:lang w:val="fr-FR"/>
        </w:rPr>
        <w:t>dénonce aussi l</w:t>
      </w:r>
      <w:r w:rsidR="00DE7A42" w:rsidRPr="00DE7A42">
        <w:rPr>
          <w:lang w:val="fr-FR"/>
        </w:rPr>
        <w:t>’</w:t>
      </w:r>
      <w:r w:rsidR="001D6F63" w:rsidRPr="00DE7A42">
        <w:rPr>
          <w:lang w:val="fr-FR"/>
        </w:rPr>
        <w:t>absence sur le plan national de tout « arsenal juridique » prévoyant des mesures préventives qui seraient adéquates et suffisantes pour assurer la conformité avec l</w:t>
      </w:r>
      <w:r w:rsidR="00DE7A42" w:rsidRPr="00DE7A42">
        <w:rPr>
          <w:lang w:val="fr-FR"/>
        </w:rPr>
        <w:t>’</w:t>
      </w:r>
      <w:r w:rsidR="001D6F63" w:rsidRPr="00DE7A42">
        <w:rPr>
          <w:lang w:val="fr-FR"/>
        </w:rPr>
        <w:t>obligation positive imposée par l</w:t>
      </w:r>
      <w:r w:rsidR="00DE7A42" w:rsidRPr="00DE7A42">
        <w:rPr>
          <w:lang w:val="fr-FR"/>
        </w:rPr>
        <w:t>’</w:t>
      </w:r>
      <w:r w:rsidR="001D6F63" w:rsidRPr="00DE7A42">
        <w:rPr>
          <w:lang w:val="fr-FR"/>
        </w:rPr>
        <w:t>article 8 aux Etats. En dépit de l</w:t>
      </w:r>
      <w:r w:rsidR="00DE7A42" w:rsidRPr="00DE7A42">
        <w:rPr>
          <w:lang w:val="fr-FR"/>
        </w:rPr>
        <w:t>’</w:t>
      </w:r>
      <w:r w:rsidR="001D6F63" w:rsidRPr="00DE7A42">
        <w:rPr>
          <w:lang w:val="fr-FR"/>
        </w:rPr>
        <w:t xml:space="preserve">existence de plusieurs rapports recommandant la poursuite des contacts </w:t>
      </w:r>
      <w:r w:rsidR="000B7562" w:rsidRPr="00DE7A42">
        <w:rPr>
          <w:lang w:val="fr-FR"/>
        </w:rPr>
        <w:t>père-</w:t>
      </w:r>
      <w:r w:rsidR="001D6F63" w:rsidRPr="00DE7A42">
        <w:rPr>
          <w:lang w:val="fr-FR"/>
        </w:rPr>
        <w:t>enfants, ni le procureur, ni les différentes autorités n</w:t>
      </w:r>
      <w:r w:rsidR="00DE7A42" w:rsidRPr="00DE7A42">
        <w:rPr>
          <w:lang w:val="fr-FR"/>
        </w:rPr>
        <w:t>’</w:t>
      </w:r>
      <w:r w:rsidR="001D6F63" w:rsidRPr="00DE7A42">
        <w:rPr>
          <w:lang w:val="fr-FR"/>
        </w:rPr>
        <w:t>ont pris de</w:t>
      </w:r>
      <w:r w:rsidR="000B7562" w:rsidRPr="00DE7A42">
        <w:rPr>
          <w:lang w:val="fr-FR"/>
        </w:rPr>
        <w:t>s</w:t>
      </w:r>
      <w:r w:rsidR="001D6F63" w:rsidRPr="00DE7A42">
        <w:rPr>
          <w:lang w:val="fr-FR"/>
        </w:rPr>
        <w:t xml:space="preserve"> mesures, laissant</w:t>
      </w:r>
      <w:r w:rsidR="000B7562" w:rsidRPr="00DE7A42">
        <w:rPr>
          <w:lang w:val="fr-FR"/>
        </w:rPr>
        <w:t xml:space="preserve"> ainsi I.P. couper délibérément le</w:t>
      </w:r>
      <w:r w:rsidR="001D6F63" w:rsidRPr="00DE7A42">
        <w:rPr>
          <w:lang w:val="fr-FR"/>
        </w:rPr>
        <w:t xml:space="preserve"> contact entre eux. En outre, l</w:t>
      </w:r>
      <w:r w:rsidR="00DE7A42" w:rsidRPr="00DE7A42">
        <w:rPr>
          <w:lang w:val="fr-FR"/>
        </w:rPr>
        <w:t>’</w:t>
      </w:r>
      <w:r w:rsidR="001D6F63" w:rsidRPr="00DE7A42">
        <w:rPr>
          <w:lang w:val="fr-FR"/>
        </w:rPr>
        <w:t>article 1532 du code civil, tel que l</w:t>
      </w:r>
      <w:r w:rsidR="00DE7A42" w:rsidRPr="00DE7A42">
        <w:rPr>
          <w:lang w:val="fr-FR"/>
        </w:rPr>
        <w:t>’</w:t>
      </w:r>
      <w:r w:rsidR="00915018" w:rsidRPr="00DE7A42">
        <w:rPr>
          <w:lang w:val="fr-FR"/>
        </w:rPr>
        <w:t>interprè</w:t>
      </w:r>
      <w:r w:rsidR="001D6F63" w:rsidRPr="00DE7A42">
        <w:rPr>
          <w:lang w:val="fr-FR"/>
        </w:rPr>
        <w:t xml:space="preserve">te le Gouvernement </w:t>
      </w:r>
      <w:r w:rsidR="00204DA4" w:rsidRPr="00DE7A42">
        <w:rPr>
          <w:lang w:val="fr-FR"/>
        </w:rPr>
        <w:t>et le procureur chargé des mi</w:t>
      </w:r>
      <w:r w:rsidR="000B7562" w:rsidRPr="00DE7A42">
        <w:rPr>
          <w:lang w:val="fr-FR"/>
        </w:rPr>
        <w:t>neurs ne permet pas la prise de</w:t>
      </w:r>
      <w:r w:rsidR="00204DA4" w:rsidRPr="00DE7A42">
        <w:rPr>
          <w:lang w:val="fr-FR"/>
        </w:rPr>
        <w:t xml:space="preserve"> mesures appropriées de nature à rapprocher les parents divorcés de leurs enfants </w:t>
      </w:r>
      <w:r w:rsidR="00D833D1" w:rsidRPr="00DE7A42">
        <w:rPr>
          <w:lang w:val="fr-FR"/>
        </w:rPr>
        <w:t>qui se seraient éloignés d</w:t>
      </w:r>
      <w:r w:rsidR="00DE7A42" w:rsidRPr="00DE7A42">
        <w:rPr>
          <w:lang w:val="fr-FR"/>
        </w:rPr>
        <w:t>’</w:t>
      </w:r>
      <w:r w:rsidR="00D833D1" w:rsidRPr="00DE7A42">
        <w:rPr>
          <w:lang w:val="fr-FR"/>
        </w:rPr>
        <w:t>eux.</w:t>
      </w:r>
    </w:p>
    <w:p w:rsidR="00D833D1" w:rsidRPr="00DE7A42" w:rsidRDefault="00D833D1"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51</w:t>
      </w:r>
      <w:r w:rsidRPr="00DE7A42">
        <w:rPr>
          <w:lang w:val="fr-FR"/>
        </w:rPr>
        <w:fldChar w:fldCharType="end"/>
      </w:r>
      <w:r w:rsidRPr="00DE7A42">
        <w:rPr>
          <w:lang w:val="fr-FR"/>
        </w:rPr>
        <w:t>.  Le requérant soutient qu</w:t>
      </w:r>
      <w:r w:rsidR="00DE7A42" w:rsidRPr="00DE7A42">
        <w:rPr>
          <w:lang w:val="fr-FR"/>
        </w:rPr>
        <w:t>’</w:t>
      </w:r>
      <w:r w:rsidRPr="00DE7A42">
        <w:rPr>
          <w:lang w:val="fr-FR"/>
        </w:rPr>
        <w:t>il n</w:t>
      </w:r>
      <w:r w:rsidR="00DE7A42" w:rsidRPr="00DE7A42">
        <w:rPr>
          <w:lang w:val="fr-FR"/>
        </w:rPr>
        <w:t>’</w:t>
      </w:r>
      <w:r w:rsidRPr="00DE7A42">
        <w:rPr>
          <w:lang w:val="fr-FR"/>
        </w:rPr>
        <w:t>est pas responsable de l</w:t>
      </w:r>
      <w:r w:rsidR="00DE7A42" w:rsidRPr="00DE7A42">
        <w:rPr>
          <w:lang w:val="fr-FR"/>
        </w:rPr>
        <w:t>’</w:t>
      </w:r>
      <w:r w:rsidRPr="00DE7A42">
        <w:rPr>
          <w:lang w:val="fr-FR"/>
        </w:rPr>
        <w:t>éloignement de ses enfants car il n</w:t>
      </w:r>
      <w:r w:rsidR="00DE7A42" w:rsidRPr="00DE7A42">
        <w:rPr>
          <w:lang w:val="fr-FR"/>
        </w:rPr>
        <w:t>’</w:t>
      </w:r>
      <w:r w:rsidRPr="00DE7A42">
        <w:rPr>
          <w:lang w:val="fr-FR"/>
        </w:rPr>
        <w:t xml:space="preserve">avait aucune possibilité de communiquer avec eux et de peser sur </w:t>
      </w:r>
      <w:r w:rsidR="000B7562" w:rsidRPr="00DE7A42">
        <w:rPr>
          <w:lang w:val="fr-FR"/>
        </w:rPr>
        <w:t>le développement</w:t>
      </w:r>
      <w:r w:rsidRPr="00DE7A42">
        <w:rPr>
          <w:lang w:val="fr-FR"/>
        </w:rPr>
        <w:t xml:space="preserve"> de leur caractère</w:t>
      </w:r>
      <w:r w:rsidR="000B7562" w:rsidRPr="00DE7A42">
        <w:rPr>
          <w:lang w:val="fr-FR"/>
        </w:rPr>
        <w:t>,</w:t>
      </w:r>
      <w:r w:rsidRPr="00DE7A42">
        <w:rPr>
          <w:lang w:val="fr-FR"/>
        </w:rPr>
        <w:t xml:space="preserve"> de leurs sentiments et de leurs émotions.</w:t>
      </w:r>
      <w:r w:rsidR="005934D2" w:rsidRPr="00DE7A42">
        <w:rPr>
          <w:lang w:val="fr-FR"/>
        </w:rPr>
        <w:t xml:space="preserve"> Il prétend que les enfants ont été laissés sous le contrôle absolu de leur mère. </w:t>
      </w:r>
      <w:r w:rsidRPr="00DE7A42">
        <w:rPr>
          <w:lang w:val="fr-FR"/>
        </w:rPr>
        <w:t>Il affirme qu</w:t>
      </w:r>
      <w:r w:rsidR="00DE7A42" w:rsidRPr="00DE7A42">
        <w:rPr>
          <w:lang w:val="fr-FR"/>
        </w:rPr>
        <w:t>’</w:t>
      </w:r>
      <w:r w:rsidRPr="00DE7A42">
        <w:rPr>
          <w:lang w:val="fr-FR"/>
        </w:rPr>
        <w:t>il n</w:t>
      </w:r>
      <w:r w:rsidR="00DE7A42" w:rsidRPr="00DE7A42">
        <w:rPr>
          <w:lang w:val="fr-FR"/>
        </w:rPr>
        <w:t>’</w:t>
      </w:r>
      <w:r w:rsidRPr="00DE7A42">
        <w:rPr>
          <w:lang w:val="fr-FR"/>
        </w:rPr>
        <w:t xml:space="preserve">a jamais cessé de collaborer avec le Centre de santé pédopsychiatrique </w:t>
      </w:r>
      <w:r w:rsidR="000B7562" w:rsidRPr="00DE7A42">
        <w:rPr>
          <w:lang w:val="fr-FR"/>
        </w:rPr>
        <w:t>et</w:t>
      </w:r>
      <w:r w:rsidRPr="00DE7A42">
        <w:rPr>
          <w:lang w:val="fr-FR"/>
        </w:rPr>
        <w:t xml:space="preserve"> il a, </w:t>
      </w:r>
      <w:r w:rsidR="000B7562" w:rsidRPr="00DE7A42">
        <w:rPr>
          <w:lang w:val="fr-FR"/>
        </w:rPr>
        <w:t>de surcroît</w:t>
      </w:r>
      <w:r w:rsidRPr="00DE7A42">
        <w:rPr>
          <w:lang w:val="fr-FR"/>
        </w:rPr>
        <w:t>, soumis au procureur responsable de</w:t>
      </w:r>
      <w:r w:rsidR="000B7562" w:rsidRPr="00DE7A42">
        <w:rPr>
          <w:lang w:val="fr-FR"/>
        </w:rPr>
        <w:t>s</w:t>
      </w:r>
      <w:r w:rsidRPr="00DE7A42">
        <w:rPr>
          <w:lang w:val="fr-FR"/>
        </w:rPr>
        <w:t xml:space="preserve"> mineurs une demande pour </w:t>
      </w:r>
      <w:r w:rsidR="000B7562" w:rsidRPr="00DE7A42">
        <w:rPr>
          <w:lang w:val="fr-FR"/>
        </w:rPr>
        <w:t>poursuivre cette collaboration,</w:t>
      </w:r>
      <w:r w:rsidRPr="00DE7A42">
        <w:rPr>
          <w:lang w:val="fr-FR"/>
        </w:rPr>
        <w:t xml:space="preserve"> ce qui a abouti à l</w:t>
      </w:r>
      <w:r w:rsidR="00DE7A42" w:rsidRPr="00DE7A42">
        <w:rPr>
          <w:lang w:val="fr-FR"/>
        </w:rPr>
        <w:t>’</w:t>
      </w:r>
      <w:r w:rsidRPr="00DE7A42">
        <w:rPr>
          <w:lang w:val="fr-FR"/>
        </w:rPr>
        <w:t>établissement d</w:t>
      </w:r>
      <w:r w:rsidR="00DE7A42" w:rsidRPr="00DE7A42">
        <w:rPr>
          <w:lang w:val="fr-FR"/>
        </w:rPr>
        <w:t>’</w:t>
      </w:r>
      <w:r w:rsidRPr="00DE7A42">
        <w:rPr>
          <w:lang w:val="fr-FR"/>
        </w:rPr>
        <w:t>a</w:t>
      </w:r>
      <w:r w:rsidR="000B7562" w:rsidRPr="00DE7A42">
        <w:rPr>
          <w:lang w:val="fr-FR"/>
        </w:rPr>
        <w:t>utres rapports dont celui du 5 </w:t>
      </w:r>
      <w:r w:rsidRPr="00DE7A42">
        <w:rPr>
          <w:lang w:val="fr-FR"/>
        </w:rPr>
        <w:t>mars 2012. Il souligne que la manière dont ses enfants l</w:t>
      </w:r>
      <w:r w:rsidR="00DE7A42" w:rsidRPr="00DE7A42">
        <w:rPr>
          <w:lang w:val="fr-FR"/>
        </w:rPr>
        <w:t>’</w:t>
      </w:r>
      <w:r w:rsidRPr="00DE7A42">
        <w:rPr>
          <w:lang w:val="fr-FR"/>
        </w:rPr>
        <w:t xml:space="preserve">ont décrit dans ce rapport </w:t>
      </w:r>
      <w:r w:rsidR="005934D2" w:rsidRPr="00DE7A42">
        <w:rPr>
          <w:lang w:val="fr-FR"/>
        </w:rPr>
        <w:t>porte l</w:t>
      </w:r>
      <w:r w:rsidR="00DE7A42" w:rsidRPr="00DE7A42">
        <w:rPr>
          <w:lang w:val="fr-FR"/>
        </w:rPr>
        <w:t>’</w:t>
      </w:r>
      <w:r w:rsidR="005934D2" w:rsidRPr="00DE7A42">
        <w:rPr>
          <w:lang w:val="fr-FR"/>
        </w:rPr>
        <w:t>empreinte de leur mère.</w:t>
      </w:r>
    </w:p>
    <w:p w:rsidR="00DE7A42" w:rsidRPr="00DE7A42" w:rsidRDefault="00B112E2"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52</w:t>
      </w:r>
      <w:r w:rsidRPr="00DE7A42">
        <w:rPr>
          <w:lang w:val="fr-FR"/>
        </w:rPr>
        <w:fldChar w:fldCharType="end"/>
      </w:r>
      <w:r w:rsidRPr="00DE7A42">
        <w:rPr>
          <w:lang w:val="fr-FR"/>
        </w:rPr>
        <w:t>.  </w:t>
      </w:r>
      <w:r w:rsidR="005934D2" w:rsidRPr="00DE7A42">
        <w:rPr>
          <w:lang w:val="fr-FR"/>
        </w:rPr>
        <w:t>Enfin, l</w:t>
      </w:r>
      <w:r w:rsidR="00591F6B" w:rsidRPr="00DE7A42">
        <w:rPr>
          <w:lang w:val="fr-FR"/>
        </w:rPr>
        <w:t>e requérant</w:t>
      </w:r>
      <w:r w:rsidR="00705C08" w:rsidRPr="00DE7A42">
        <w:rPr>
          <w:lang w:val="fr-FR"/>
        </w:rPr>
        <w:t xml:space="preserve"> </w:t>
      </w:r>
      <w:r w:rsidR="005934D2" w:rsidRPr="00DE7A42">
        <w:rPr>
          <w:lang w:val="fr-FR"/>
        </w:rPr>
        <w:t>critique la pratique des autorités de ne pas divulguer aux parents les rapports de</w:t>
      </w:r>
      <w:r w:rsidR="000B7562" w:rsidRPr="00DE7A42">
        <w:rPr>
          <w:lang w:val="fr-FR"/>
        </w:rPr>
        <w:t>s</w:t>
      </w:r>
      <w:r w:rsidR="005934D2" w:rsidRPr="00DE7A42">
        <w:rPr>
          <w:lang w:val="fr-FR"/>
        </w:rPr>
        <w:t xml:space="preserve"> pédopsychiatres concernant leurs enfants, au motif qu</w:t>
      </w:r>
      <w:r w:rsidR="00DE7A42" w:rsidRPr="00DE7A42">
        <w:rPr>
          <w:lang w:val="fr-FR"/>
        </w:rPr>
        <w:t>’</w:t>
      </w:r>
      <w:r w:rsidR="005934D2" w:rsidRPr="00DE7A42">
        <w:rPr>
          <w:lang w:val="fr-FR"/>
        </w:rPr>
        <w:t>ils constituent des données de caractère personnel et sont donc confidentiels. Il souligne qu</w:t>
      </w:r>
      <w:r w:rsidR="00DE7A42" w:rsidRPr="00DE7A42">
        <w:rPr>
          <w:lang w:val="fr-FR"/>
        </w:rPr>
        <w:t>’</w:t>
      </w:r>
      <w:r w:rsidR="005934D2" w:rsidRPr="00DE7A42">
        <w:rPr>
          <w:lang w:val="fr-FR"/>
        </w:rPr>
        <w:t>un aperçu</w:t>
      </w:r>
      <w:r w:rsidR="00736479" w:rsidRPr="00DE7A42">
        <w:rPr>
          <w:lang w:val="fr-FR"/>
        </w:rPr>
        <w:t xml:space="preserve"> de ces rapports « soi-disant </w:t>
      </w:r>
      <w:r w:rsidR="005934D2" w:rsidRPr="00DE7A42">
        <w:rPr>
          <w:lang w:val="fr-FR"/>
        </w:rPr>
        <w:t>confidentiels » dans son cas, qui ont été finalement produits par le Gouvernement devant la Cour, permet de s</w:t>
      </w:r>
      <w:r w:rsidR="00DE7A42" w:rsidRPr="00DE7A42">
        <w:rPr>
          <w:lang w:val="fr-FR"/>
        </w:rPr>
        <w:t>’</w:t>
      </w:r>
      <w:r w:rsidR="005934D2" w:rsidRPr="00DE7A42">
        <w:rPr>
          <w:lang w:val="fr-FR"/>
        </w:rPr>
        <w:t xml:space="preserve">interroger sur la raison pour laquelle </w:t>
      </w:r>
      <w:r w:rsidR="000D1477" w:rsidRPr="00DE7A42">
        <w:rPr>
          <w:lang w:val="fr-FR"/>
        </w:rPr>
        <w:t xml:space="preserve">il faudrait </w:t>
      </w:r>
      <w:r w:rsidR="005934D2" w:rsidRPr="00DE7A42">
        <w:rPr>
          <w:lang w:val="fr-FR"/>
        </w:rPr>
        <w:t xml:space="preserve">une requête à la Cour </w:t>
      </w:r>
      <w:r w:rsidR="000D1477" w:rsidRPr="00DE7A42">
        <w:rPr>
          <w:lang w:val="fr-FR"/>
        </w:rPr>
        <w:t xml:space="preserve">pour </w:t>
      </w:r>
      <w:r w:rsidR="000B7562" w:rsidRPr="00DE7A42">
        <w:rPr>
          <w:lang w:val="fr-FR"/>
        </w:rPr>
        <w:t>enfin</w:t>
      </w:r>
      <w:r w:rsidR="000D1477" w:rsidRPr="00DE7A42">
        <w:rPr>
          <w:lang w:val="fr-FR"/>
        </w:rPr>
        <w:t xml:space="preserve"> </w:t>
      </w:r>
      <w:r w:rsidR="005934D2" w:rsidRPr="00DE7A42">
        <w:rPr>
          <w:lang w:val="fr-FR"/>
        </w:rPr>
        <w:t>recevoir copie de ces documents.</w:t>
      </w:r>
    </w:p>
    <w:p w:rsidR="00ED2E7E" w:rsidRPr="00DE7A42" w:rsidRDefault="00ED2E7E" w:rsidP="00DE7A42">
      <w:pPr>
        <w:pStyle w:val="ECHRHeading4"/>
        <w:rPr>
          <w:lang w:val="fr-FR"/>
        </w:rPr>
      </w:pPr>
      <w:r w:rsidRPr="00DE7A42">
        <w:rPr>
          <w:lang w:val="fr-FR"/>
        </w:rPr>
        <w:t>b)  Le Gouvernement</w:t>
      </w:r>
    </w:p>
    <w:p w:rsidR="00DE7A42" w:rsidRPr="00DE7A42" w:rsidRDefault="00ED2E7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53</w:t>
      </w:r>
      <w:r w:rsidRPr="00DE7A42">
        <w:rPr>
          <w:lang w:val="fr-FR"/>
        </w:rPr>
        <w:fldChar w:fldCharType="end"/>
      </w:r>
      <w:r w:rsidRPr="00DE7A42">
        <w:rPr>
          <w:lang w:val="fr-FR"/>
        </w:rPr>
        <w:t>.  Le Gouvernement soutient que le requérant invoque de manière générale et abstraite l</w:t>
      </w:r>
      <w:r w:rsidR="00DE7A42" w:rsidRPr="00DE7A42">
        <w:rPr>
          <w:lang w:val="fr-FR"/>
        </w:rPr>
        <w:t>’</w:t>
      </w:r>
      <w:r w:rsidRPr="00DE7A42">
        <w:rPr>
          <w:lang w:val="fr-FR"/>
        </w:rPr>
        <w:t>inefficacité des dispositions du code de procédure civile et du code civil, sans préciser les démarches qui selon lui seraient appropriées pour faire rétablir ses relations avec ses enfants.</w:t>
      </w:r>
    </w:p>
    <w:p w:rsidR="00ED2E7E" w:rsidRPr="00DE7A42" w:rsidRDefault="00ED2E7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54</w:t>
      </w:r>
      <w:r w:rsidRPr="00DE7A42">
        <w:rPr>
          <w:lang w:val="fr-FR"/>
        </w:rPr>
        <w:fldChar w:fldCharType="end"/>
      </w:r>
      <w:r w:rsidRPr="00DE7A42">
        <w:rPr>
          <w:lang w:val="fr-FR"/>
        </w:rPr>
        <w:t>.  Le Gouvernement souligne que l</w:t>
      </w:r>
      <w:r w:rsidR="00DE7A42" w:rsidRPr="00DE7A42">
        <w:rPr>
          <w:lang w:val="fr-FR"/>
        </w:rPr>
        <w:t>’</w:t>
      </w:r>
      <w:r w:rsidRPr="00DE7A42">
        <w:rPr>
          <w:lang w:val="fr-FR"/>
        </w:rPr>
        <w:t>Etat s</w:t>
      </w:r>
      <w:r w:rsidR="00DE7A42" w:rsidRPr="00DE7A42">
        <w:rPr>
          <w:lang w:val="fr-FR"/>
        </w:rPr>
        <w:t>’</w:t>
      </w:r>
      <w:r w:rsidRPr="00DE7A42">
        <w:rPr>
          <w:lang w:val="fr-FR"/>
        </w:rPr>
        <w:t>est pleinement conformé à son obligation pour instaurer un système complet de protection judiciaire visant à rétablir la communication parents/enfants lorsque celle-ci devient difficile en raison de différends et de conflits familiaux. L</w:t>
      </w:r>
      <w:r w:rsidR="00DE7A42" w:rsidRPr="00DE7A42">
        <w:rPr>
          <w:lang w:val="fr-FR"/>
        </w:rPr>
        <w:t>’</w:t>
      </w:r>
      <w:r w:rsidRPr="00DE7A42">
        <w:rPr>
          <w:lang w:val="fr-FR"/>
        </w:rPr>
        <w:t>élément dominant à la base de ce système est celui de l</w:t>
      </w:r>
      <w:r w:rsidR="00DE7A42" w:rsidRPr="00DE7A42">
        <w:rPr>
          <w:lang w:val="fr-FR"/>
        </w:rPr>
        <w:t>’</w:t>
      </w:r>
      <w:r w:rsidRPr="00DE7A42">
        <w:rPr>
          <w:lang w:val="fr-FR"/>
        </w:rPr>
        <w:t>intérêt supérieur de l</w:t>
      </w:r>
      <w:r w:rsidR="00DE7A42" w:rsidRPr="00DE7A42">
        <w:rPr>
          <w:lang w:val="fr-FR"/>
        </w:rPr>
        <w:t>’</w:t>
      </w:r>
      <w:r w:rsidRPr="00DE7A42">
        <w:rPr>
          <w:lang w:val="fr-FR"/>
        </w:rPr>
        <w:t>enfant. Ainsi, ledit système prévoit l</w:t>
      </w:r>
      <w:r w:rsidR="00DE7A42" w:rsidRPr="00DE7A42">
        <w:rPr>
          <w:lang w:val="fr-FR"/>
        </w:rPr>
        <w:t>’</w:t>
      </w:r>
      <w:r w:rsidRPr="00DE7A42">
        <w:rPr>
          <w:lang w:val="fr-FR"/>
        </w:rPr>
        <w:t>imposition d</w:t>
      </w:r>
      <w:r w:rsidR="00DE7A42" w:rsidRPr="00DE7A42">
        <w:rPr>
          <w:lang w:val="fr-FR"/>
        </w:rPr>
        <w:t>’</w:t>
      </w:r>
      <w:r w:rsidRPr="00DE7A42">
        <w:rPr>
          <w:lang w:val="fr-FR"/>
        </w:rPr>
        <w:t>une peine pécuniaire comme moyen d</w:t>
      </w:r>
      <w:r w:rsidR="00DE7A42" w:rsidRPr="00DE7A42">
        <w:rPr>
          <w:lang w:val="fr-FR"/>
        </w:rPr>
        <w:t>’</w:t>
      </w:r>
      <w:r w:rsidRPr="00DE7A42">
        <w:rPr>
          <w:lang w:val="fr-FR"/>
        </w:rPr>
        <w:t>exécution forcée d</w:t>
      </w:r>
      <w:r w:rsidR="00DE7A42" w:rsidRPr="00DE7A42">
        <w:rPr>
          <w:lang w:val="fr-FR"/>
        </w:rPr>
        <w:t>’</w:t>
      </w:r>
      <w:r w:rsidRPr="00DE7A42">
        <w:rPr>
          <w:lang w:val="fr-FR"/>
        </w:rPr>
        <w:t>un jugement (article 950 § 2 du code de procédure civile), l</w:t>
      </w:r>
      <w:r w:rsidR="00DE7A42" w:rsidRPr="00DE7A42">
        <w:rPr>
          <w:lang w:val="fr-FR"/>
        </w:rPr>
        <w:t>’</w:t>
      </w:r>
      <w:r w:rsidRPr="00DE7A42">
        <w:rPr>
          <w:lang w:val="fr-FR"/>
        </w:rPr>
        <w:t>instauration d</w:t>
      </w:r>
      <w:r w:rsidR="00DE7A42" w:rsidRPr="00DE7A42">
        <w:rPr>
          <w:lang w:val="fr-FR"/>
        </w:rPr>
        <w:t>’</w:t>
      </w:r>
      <w:r w:rsidRPr="00DE7A42">
        <w:rPr>
          <w:lang w:val="fr-FR"/>
        </w:rPr>
        <w:t>une responsabilité pénale (article 232A du code pénal), la possibilité de supprimer la garde des enfants par l</w:t>
      </w:r>
      <w:r w:rsidR="00DE7A42" w:rsidRPr="00DE7A42">
        <w:rPr>
          <w:lang w:val="fr-FR"/>
        </w:rPr>
        <w:t>’</w:t>
      </w:r>
      <w:r w:rsidRPr="00DE7A42">
        <w:rPr>
          <w:lang w:val="fr-FR"/>
        </w:rPr>
        <w:t>un des parents lorsque celui-ci ne se conforme pas à un jugement réglant le droit de visite de l</w:t>
      </w:r>
      <w:r w:rsidR="00DE7A42" w:rsidRPr="00DE7A42">
        <w:rPr>
          <w:lang w:val="fr-FR"/>
        </w:rPr>
        <w:t>’</w:t>
      </w:r>
      <w:r w:rsidRPr="00DE7A42">
        <w:rPr>
          <w:lang w:val="fr-FR"/>
        </w:rPr>
        <w:t>autre parent (article 1532 du code civil). Toute autre manière d</w:t>
      </w:r>
      <w:r w:rsidR="00DE7A42" w:rsidRPr="00DE7A42">
        <w:rPr>
          <w:lang w:val="fr-FR"/>
        </w:rPr>
        <w:t>’</w:t>
      </w:r>
      <w:r w:rsidRPr="00DE7A42">
        <w:rPr>
          <w:lang w:val="fr-FR"/>
        </w:rPr>
        <w:t>exécution forcée d</w:t>
      </w:r>
      <w:r w:rsidR="00DE7A42" w:rsidRPr="00DE7A42">
        <w:rPr>
          <w:lang w:val="fr-FR"/>
        </w:rPr>
        <w:t>’</w:t>
      </w:r>
      <w:r w:rsidRPr="00DE7A42">
        <w:rPr>
          <w:lang w:val="fr-FR"/>
        </w:rPr>
        <w:t>un tel jugement sur des questions de garde d</w:t>
      </w:r>
      <w:r w:rsidR="00DE7A42" w:rsidRPr="00DE7A42">
        <w:rPr>
          <w:lang w:val="fr-FR"/>
        </w:rPr>
        <w:t>’</w:t>
      </w:r>
      <w:r w:rsidRPr="00DE7A42">
        <w:rPr>
          <w:lang w:val="fr-FR"/>
        </w:rPr>
        <w:t>enfants et de droit de visite se heurterait aux principes fondamentaux de l</w:t>
      </w:r>
      <w:r w:rsidR="00DE7A42" w:rsidRPr="00DE7A42">
        <w:rPr>
          <w:lang w:val="fr-FR"/>
        </w:rPr>
        <w:t>’</w:t>
      </w:r>
      <w:r w:rsidRPr="00DE7A42">
        <w:rPr>
          <w:lang w:val="fr-FR"/>
        </w:rPr>
        <w:t>état de droit et de l</w:t>
      </w:r>
      <w:r w:rsidR="00DE7A42" w:rsidRPr="00DE7A42">
        <w:rPr>
          <w:lang w:val="fr-FR"/>
        </w:rPr>
        <w:t>’</w:t>
      </w:r>
      <w:r w:rsidRPr="00DE7A42">
        <w:rPr>
          <w:lang w:val="fr-FR"/>
        </w:rPr>
        <w:t>intérêt de l</w:t>
      </w:r>
      <w:r w:rsidR="00DE7A42" w:rsidRPr="00DE7A42">
        <w:rPr>
          <w:lang w:val="fr-FR"/>
        </w:rPr>
        <w:t>’</w:t>
      </w:r>
      <w:r w:rsidRPr="00DE7A42">
        <w:rPr>
          <w:lang w:val="fr-FR"/>
        </w:rPr>
        <w:t>enfant car elle équivaudrait à l</w:t>
      </w:r>
      <w:r w:rsidR="00DE7A42" w:rsidRPr="00DE7A42">
        <w:rPr>
          <w:lang w:val="fr-FR"/>
        </w:rPr>
        <w:t>’</w:t>
      </w:r>
      <w:r w:rsidRPr="00DE7A42">
        <w:rPr>
          <w:lang w:val="fr-FR"/>
        </w:rPr>
        <w:t>exercice d</w:t>
      </w:r>
      <w:r w:rsidR="00DE7A42" w:rsidRPr="00DE7A42">
        <w:rPr>
          <w:lang w:val="fr-FR"/>
        </w:rPr>
        <w:t>’</w:t>
      </w:r>
      <w:r w:rsidRPr="00DE7A42">
        <w:rPr>
          <w:lang w:val="fr-FR"/>
        </w:rPr>
        <w:t>une violence directe ou indirecte sur l</w:t>
      </w:r>
      <w:r w:rsidR="00DE7A42" w:rsidRPr="00DE7A42">
        <w:rPr>
          <w:lang w:val="fr-FR"/>
        </w:rPr>
        <w:t>’</w:t>
      </w:r>
      <w:r w:rsidRPr="00DE7A42">
        <w:rPr>
          <w:lang w:val="fr-FR"/>
        </w:rPr>
        <w:t>enfant.</w:t>
      </w:r>
    </w:p>
    <w:p w:rsidR="00ED2E7E" w:rsidRPr="00DE7A42" w:rsidRDefault="00ED2E7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55</w:t>
      </w:r>
      <w:r w:rsidRPr="00DE7A42">
        <w:rPr>
          <w:lang w:val="fr-FR"/>
        </w:rPr>
        <w:fldChar w:fldCharType="end"/>
      </w:r>
      <w:r w:rsidRPr="00DE7A42">
        <w:rPr>
          <w:lang w:val="fr-FR"/>
        </w:rPr>
        <w:t>.  Les imperfections du système, notées dans la pratique et qui se reflètent dans les relations entre les parents, ne peuvent être corrigées que par les parents eux-mêmes qui, soutenus par des psychologues et des travailleurs sociaux, doivent veiller à rétablir un rapprochement entre l</w:t>
      </w:r>
      <w:r w:rsidR="00DE7A42" w:rsidRPr="00DE7A42">
        <w:rPr>
          <w:lang w:val="fr-FR"/>
        </w:rPr>
        <w:t>’</w:t>
      </w:r>
      <w:r w:rsidRPr="00DE7A42">
        <w:rPr>
          <w:lang w:val="fr-FR"/>
        </w:rPr>
        <w:t>enfant et le parent qui n</w:t>
      </w:r>
      <w:r w:rsidR="00DE7A42" w:rsidRPr="00DE7A42">
        <w:rPr>
          <w:lang w:val="fr-FR"/>
        </w:rPr>
        <w:t>’</w:t>
      </w:r>
      <w:r w:rsidRPr="00DE7A42">
        <w:rPr>
          <w:lang w:val="fr-FR"/>
        </w:rPr>
        <w:t>en a pas la garde. Toutefois, l</w:t>
      </w:r>
      <w:r w:rsidR="00DE7A42" w:rsidRPr="00DE7A42">
        <w:rPr>
          <w:lang w:val="fr-FR"/>
        </w:rPr>
        <w:t>’</w:t>
      </w:r>
      <w:r w:rsidRPr="00DE7A42">
        <w:rPr>
          <w:lang w:val="fr-FR"/>
        </w:rPr>
        <w:t>approche thérapeutique des parents ne peut reposer que sur leur engagement personnel, domaine dans lequel l</w:t>
      </w:r>
      <w:r w:rsidR="00DE7A42" w:rsidRPr="00DE7A42">
        <w:rPr>
          <w:lang w:val="fr-FR"/>
        </w:rPr>
        <w:t>’</w:t>
      </w:r>
      <w:r w:rsidRPr="00DE7A42">
        <w:rPr>
          <w:lang w:val="fr-FR"/>
        </w:rPr>
        <w:t>Etat ne peut pas s</w:t>
      </w:r>
      <w:r w:rsidR="00DE7A42" w:rsidRPr="00DE7A42">
        <w:rPr>
          <w:lang w:val="fr-FR"/>
        </w:rPr>
        <w:t>’</w:t>
      </w:r>
      <w:r w:rsidRPr="00DE7A42">
        <w:rPr>
          <w:lang w:val="fr-FR"/>
        </w:rPr>
        <w:t>impliquer. Le procureur chargé des mineurs n</w:t>
      </w:r>
      <w:r w:rsidR="00DE7A42" w:rsidRPr="00DE7A42">
        <w:rPr>
          <w:lang w:val="fr-FR"/>
        </w:rPr>
        <w:t>’</w:t>
      </w:r>
      <w:r w:rsidRPr="00DE7A42">
        <w:rPr>
          <w:lang w:val="fr-FR"/>
        </w:rPr>
        <w:t>est pas compétent pour faire exécuter les décisions des tribunaux en la matière ; il ne peut, en vertu de l</w:t>
      </w:r>
      <w:r w:rsidR="00DE7A42" w:rsidRPr="00DE7A42">
        <w:rPr>
          <w:lang w:val="fr-FR"/>
        </w:rPr>
        <w:t>’</w:t>
      </w:r>
      <w:r w:rsidRPr="00DE7A42">
        <w:rPr>
          <w:lang w:val="fr-FR"/>
        </w:rPr>
        <w:t>article 1532 du code civil, qu</w:t>
      </w:r>
      <w:r w:rsidR="00DE7A42" w:rsidRPr="00DE7A42">
        <w:rPr>
          <w:lang w:val="fr-FR"/>
        </w:rPr>
        <w:t>’</w:t>
      </w:r>
      <w:r w:rsidRPr="00DE7A42">
        <w:rPr>
          <w:lang w:val="fr-FR"/>
        </w:rPr>
        <w:t>ordonner une expertise pédopsychiatrique, faire des recommandations aux parents ou faire intervenir des institutions publiques dans un but d</w:t>
      </w:r>
      <w:r w:rsidR="00DE7A42" w:rsidRPr="00DE7A42">
        <w:rPr>
          <w:lang w:val="fr-FR"/>
        </w:rPr>
        <w:t>’</w:t>
      </w:r>
      <w:r w:rsidRPr="00DE7A42">
        <w:rPr>
          <w:lang w:val="fr-FR"/>
        </w:rPr>
        <w:t>assistance aux parents.</w:t>
      </w:r>
    </w:p>
    <w:p w:rsidR="00ED2E7E" w:rsidRPr="00DE7A42" w:rsidRDefault="00ED2E7E"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56</w:t>
      </w:r>
      <w:r w:rsidRPr="00DE7A42">
        <w:rPr>
          <w:lang w:val="fr-FR"/>
        </w:rPr>
        <w:fldChar w:fldCharType="end"/>
      </w:r>
      <w:r w:rsidRPr="00DE7A42">
        <w:rPr>
          <w:lang w:val="fr-FR"/>
        </w:rPr>
        <w:t>.  En l</w:t>
      </w:r>
      <w:r w:rsidR="00DE7A42" w:rsidRPr="00DE7A42">
        <w:rPr>
          <w:lang w:val="fr-FR"/>
        </w:rPr>
        <w:t>’</w:t>
      </w:r>
      <w:r w:rsidRPr="00DE7A42">
        <w:rPr>
          <w:lang w:val="fr-FR"/>
        </w:rPr>
        <w:t>espèce, le droit de visite du requérant a été réglé par les jugements n</w:t>
      </w:r>
      <w:r w:rsidR="004831D1" w:rsidRPr="00DE7A42">
        <w:rPr>
          <w:vertAlign w:val="superscript"/>
          <w:lang w:val="fr-FR"/>
        </w:rPr>
        <w:t>o</w:t>
      </w:r>
      <w:r w:rsidRPr="00DE7A42">
        <w:rPr>
          <w:lang w:val="fr-FR"/>
        </w:rPr>
        <w:t xml:space="preserve"> 4823/2010 et 1376/2011 du tribunal de première instance. En outre, I.P. a été menacée de contrainte par corps d</w:t>
      </w:r>
      <w:r w:rsidR="00DE7A42" w:rsidRPr="00DE7A42">
        <w:rPr>
          <w:lang w:val="fr-FR"/>
        </w:rPr>
        <w:t>’</w:t>
      </w:r>
      <w:r w:rsidRPr="00DE7A42">
        <w:rPr>
          <w:lang w:val="fr-FR"/>
        </w:rPr>
        <w:t>un mois et d</w:t>
      </w:r>
      <w:r w:rsidR="00DE7A42" w:rsidRPr="00DE7A42">
        <w:rPr>
          <w:lang w:val="fr-FR"/>
        </w:rPr>
        <w:t>’</w:t>
      </w:r>
      <w:r w:rsidRPr="00DE7A42">
        <w:rPr>
          <w:lang w:val="fr-FR"/>
        </w:rPr>
        <w:t>une sanction pécuniaire de 500 euros pour toute violation des dispositions relatives au droit de visite du requérant. De son côté, ce dernier a saisi les tribunaux compétents pour obtenir qu</w:t>
      </w:r>
      <w:r w:rsidR="00DE7A42" w:rsidRPr="00DE7A42">
        <w:rPr>
          <w:lang w:val="fr-FR"/>
        </w:rPr>
        <w:t>’</w:t>
      </w:r>
      <w:r w:rsidRPr="00DE7A42">
        <w:rPr>
          <w:lang w:val="fr-FR"/>
        </w:rPr>
        <w:t>I.P. se conforme à ses obligations, mais n</w:t>
      </w:r>
      <w:r w:rsidR="00DE7A42" w:rsidRPr="00DE7A42">
        <w:rPr>
          <w:lang w:val="fr-FR"/>
        </w:rPr>
        <w:t>’</w:t>
      </w:r>
      <w:r w:rsidRPr="00DE7A42">
        <w:rPr>
          <w:lang w:val="fr-FR"/>
        </w:rPr>
        <w:t>a fourni aucune information sur l</w:t>
      </w:r>
      <w:r w:rsidR="00DE7A42" w:rsidRPr="00DE7A42">
        <w:rPr>
          <w:lang w:val="fr-FR"/>
        </w:rPr>
        <w:t>’</w:t>
      </w:r>
      <w:r w:rsidRPr="00DE7A42">
        <w:rPr>
          <w:lang w:val="fr-FR"/>
        </w:rPr>
        <w:t>issue de ces procédures. Enfin, le requérant a refusé de se conformer aux recommandations des psychologues et n</w:t>
      </w:r>
      <w:r w:rsidR="00DE7A42" w:rsidRPr="00DE7A42">
        <w:rPr>
          <w:lang w:val="fr-FR"/>
        </w:rPr>
        <w:t>’</w:t>
      </w:r>
      <w:r w:rsidRPr="00DE7A42">
        <w:rPr>
          <w:lang w:val="fr-FR"/>
        </w:rPr>
        <w:t>a pas suivi la thérapie proposée par le Centre de santé pédopsychiatrique et par le médiateur de la République.</w:t>
      </w:r>
    </w:p>
    <w:p w:rsidR="000D1477" w:rsidRPr="00DE7A42" w:rsidRDefault="000D1477" w:rsidP="00DE7A42">
      <w:pPr>
        <w:pStyle w:val="ECHRHeading3"/>
        <w:rPr>
          <w:lang w:val="fr-FR"/>
        </w:rPr>
      </w:pPr>
      <w:r w:rsidRPr="00DE7A42">
        <w:rPr>
          <w:lang w:val="fr-FR"/>
        </w:rPr>
        <w:t>2.  L</w:t>
      </w:r>
      <w:r w:rsidR="00DE7A42" w:rsidRPr="00DE7A42">
        <w:rPr>
          <w:lang w:val="fr-FR"/>
        </w:rPr>
        <w:t>’</w:t>
      </w:r>
      <w:r w:rsidRPr="00DE7A42">
        <w:rPr>
          <w:lang w:val="fr-FR"/>
        </w:rPr>
        <w:t>appréciation de la Cour</w:t>
      </w:r>
    </w:p>
    <w:p w:rsidR="00A270F1" w:rsidRPr="00DE7A42" w:rsidRDefault="00A270F1" w:rsidP="00DE7A42">
      <w:pPr>
        <w:pStyle w:val="ECHRHeading4"/>
        <w:rPr>
          <w:lang w:val="fr-FR"/>
        </w:rPr>
      </w:pPr>
      <w:r w:rsidRPr="00DE7A42">
        <w:rPr>
          <w:lang w:val="fr-FR"/>
        </w:rPr>
        <w:t>a)  Applicabilité de l</w:t>
      </w:r>
      <w:r w:rsidR="00DE7A42" w:rsidRPr="00DE7A42">
        <w:rPr>
          <w:lang w:val="fr-FR"/>
        </w:rPr>
        <w:t>’</w:t>
      </w:r>
      <w:r w:rsidRPr="00DE7A42">
        <w:rPr>
          <w:lang w:val="fr-FR"/>
        </w:rPr>
        <w:t>article 8</w:t>
      </w:r>
    </w:p>
    <w:p w:rsidR="00AC0877" w:rsidRPr="00DE7A42" w:rsidRDefault="00AC087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57</w:t>
      </w:r>
      <w:r w:rsidRPr="00DE7A42">
        <w:rPr>
          <w:lang w:val="fr-FR"/>
        </w:rPr>
        <w:fldChar w:fldCharType="end"/>
      </w:r>
      <w:r w:rsidRPr="00DE7A42">
        <w:rPr>
          <w:lang w:val="fr-FR"/>
        </w:rPr>
        <w:t>.  La Cour relève d</w:t>
      </w:r>
      <w:r w:rsidR="00DE7A42" w:rsidRPr="00DE7A42">
        <w:rPr>
          <w:lang w:val="fr-FR"/>
        </w:rPr>
        <w:t>’</w:t>
      </w:r>
      <w:r w:rsidRPr="00DE7A42">
        <w:rPr>
          <w:lang w:val="fr-FR"/>
        </w:rPr>
        <w:t>abord que nul ne conteste que la situation litigieuse relève de la « vie familiale », au sens de l</w:t>
      </w:r>
      <w:r w:rsidR="00DE7A42" w:rsidRPr="00DE7A42">
        <w:rPr>
          <w:lang w:val="fr-FR"/>
        </w:rPr>
        <w:t>’</w:t>
      </w:r>
      <w:r w:rsidRPr="00DE7A42">
        <w:rPr>
          <w:lang w:val="fr-FR"/>
        </w:rPr>
        <w:t>article 8 de la Convention, cette disposition trouvant donc à s</w:t>
      </w:r>
      <w:r w:rsidR="00DE7A42" w:rsidRPr="00DE7A42">
        <w:rPr>
          <w:lang w:val="fr-FR"/>
        </w:rPr>
        <w:t>’</w:t>
      </w:r>
      <w:r w:rsidRPr="00DE7A42">
        <w:rPr>
          <w:lang w:val="fr-FR"/>
        </w:rPr>
        <w:t>appliquer en l</w:t>
      </w:r>
      <w:r w:rsidR="00DE7A42" w:rsidRPr="00DE7A42">
        <w:rPr>
          <w:lang w:val="fr-FR"/>
        </w:rPr>
        <w:t>’</w:t>
      </w:r>
      <w:r w:rsidRPr="00DE7A42">
        <w:rPr>
          <w:lang w:val="fr-FR"/>
        </w:rPr>
        <w:t>espèce.</w:t>
      </w:r>
    </w:p>
    <w:p w:rsidR="00A270F1" w:rsidRPr="00DE7A42" w:rsidRDefault="00A270F1" w:rsidP="00DE7A42">
      <w:pPr>
        <w:pStyle w:val="ECHRHeading4"/>
        <w:rPr>
          <w:lang w:val="fr-FR"/>
        </w:rPr>
      </w:pPr>
      <w:r w:rsidRPr="00DE7A42">
        <w:rPr>
          <w:lang w:val="fr-FR"/>
        </w:rPr>
        <w:t>b)  Principes généraux</w:t>
      </w:r>
    </w:p>
    <w:p w:rsidR="0020444B" w:rsidRPr="00DE7A42" w:rsidRDefault="00AC087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58</w:t>
      </w:r>
      <w:r w:rsidRPr="00DE7A42">
        <w:rPr>
          <w:lang w:val="fr-FR"/>
        </w:rPr>
        <w:fldChar w:fldCharType="end"/>
      </w:r>
      <w:r w:rsidR="00A270F1" w:rsidRPr="00DE7A42">
        <w:rPr>
          <w:lang w:val="fr-FR"/>
        </w:rPr>
        <w:t>.  </w:t>
      </w:r>
      <w:r w:rsidR="0020444B" w:rsidRPr="00DE7A42">
        <w:rPr>
          <w:lang w:val="fr-FR"/>
        </w:rPr>
        <w:t>La Cour rappelle que si l</w:t>
      </w:r>
      <w:r w:rsidR="00DE7A42" w:rsidRPr="00DE7A42">
        <w:rPr>
          <w:lang w:val="fr-FR"/>
        </w:rPr>
        <w:t>’</w:t>
      </w:r>
      <w:r w:rsidR="0020444B" w:rsidRPr="00DE7A42">
        <w:rPr>
          <w:lang w:val="fr-FR"/>
        </w:rPr>
        <w:t>article 8 tend pour l</w:t>
      </w:r>
      <w:r w:rsidR="00DE7A42" w:rsidRPr="00DE7A42">
        <w:rPr>
          <w:lang w:val="fr-FR"/>
        </w:rPr>
        <w:t>’</w:t>
      </w:r>
      <w:r w:rsidR="0020444B" w:rsidRPr="00DE7A42">
        <w:rPr>
          <w:lang w:val="fr-FR"/>
        </w:rPr>
        <w:t>essentiel à prémunir l</w:t>
      </w:r>
      <w:r w:rsidR="00DE7A42" w:rsidRPr="00DE7A42">
        <w:rPr>
          <w:lang w:val="fr-FR"/>
        </w:rPr>
        <w:t>’</w:t>
      </w:r>
      <w:r w:rsidR="0020444B" w:rsidRPr="00DE7A42">
        <w:rPr>
          <w:lang w:val="fr-FR"/>
        </w:rPr>
        <w:t>individu contre des ingérences arbitraires des pouvoirs publics, il ne se contente pas de commander à l</w:t>
      </w:r>
      <w:r w:rsidR="00DE7A42" w:rsidRPr="00DE7A42">
        <w:rPr>
          <w:lang w:val="fr-FR"/>
        </w:rPr>
        <w:t>’</w:t>
      </w:r>
      <w:r w:rsidR="0020444B" w:rsidRPr="00DE7A42">
        <w:rPr>
          <w:lang w:val="fr-FR"/>
        </w:rPr>
        <w:t>Etat de s</w:t>
      </w:r>
      <w:r w:rsidR="00DE7A42" w:rsidRPr="00DE7A42">
        <w:rPr>
          <w:lang w:val="fr-FR"/>
        </w:rPr>
        <w:t>’</w:t>
      </w:r>
      <w:r w:rsidR="0020444B" w:rsidRPr="00DE7A42">
        <w:rPr>
          <w:lang w:val="fr-FR"/>
        </w:rPr>
        <w:t>abstenir de pareilles ingérences : à cet engagement plutôt négatif peuvent s</w:t>
      </w:r>
      <w:r w:rsidR="00DE7A42" w:rsidRPr="00DE7A42">
        <w:rPr>
          <w:lang w:val="fr-FR"/>
        </w:rPr>
        <w:t>’</w:t>
      </w:r>
      <w:r w:rsidR="0020444B" w:rsidRPr="00DE7A42">
        <w:rPr>
          <w:lang w:val="fr-FR"/>
        </w:rPr>
        <w:t>ajouter des obligations positives inhérentes à un respect effectif de la vie privée et familiale. Elles peuvent impliquer l</w:t>
      </w:r>
      <w:r w:rsidR="00DE7A42" w:rsidRPr="00DE7A42">
        <w:rPr>
          <w:lang w:val="fr-FR"/>
        </w:rPr>
        <w:t>’</w:t>
      </w:r>
      <w:r w:rsidR="0020444B" w:rsidRPr="00DE7A42">
        <w:rPr>
          <w:lang w:val="fr-FR"/>
        </w:rPr>
        <w:t>adoption de mesures visant au respect de la vie privée et familiale, jusque dans les relations des individus entre eux. La frontière entre les obligations positives et les obligations négatives de l</w:t>
      </w:r>
      <w:r w:rsidR="00DE7A42" w:rsidRPr="00DE7A42">
        <w:rPr>
          <w:lang w:val="fr-FR"/>
        </w:rPr>
        <w:t>’</w:t>
      </w:r>
      <w:r w:rsidR="0020444B" w:rsidRPr="00DE7A42">
        <w:rPr>
          <w:lang w:val="fr-FR"/>
        </w:rPr>
        <w:t>Etat au titre de l</w:t>
      </w:r>
      <w:r w:rsidR="00DE7A42" w:rsidRPr="00DE7A42">
        <w:rPr>
          <w:lang w:val="fr-FR"/>
        </w:rPr>
        <w:t>’</w:t>
      </w:r>
      <w:r w:rsidR="0020444B" w:rsidRPr="00DE7A42">
        <w:rPr>
          <w:lang w:val="fr-FR"/>
        </w:rPr>
        <w:t>article 8 ne se prête pas à une définition précise ; les principes applicables sont néanmoins comparables. En particulier, dans les deux cas, il faut avoir égard au juste équilibre à ménager entre les intérêts concurrents (</w:t>
      </w:r>
      <w:r w:rsidR="0020444B" w:rsidRPr="00DE7A42">
        <w:rPr>
          <w:i/>
          <w:iCs/>
          <w:lang w:val="fr-FR"/>
        </w:rPr>
        <w:t xml:space="preserve">Odièvre c. France </w:t>
      </w:r>
      <w:r w:rsidR="0020444B" w:rsidRPr="00DE7A42">
        <w:rPr>
          <w:lang w:val="fr-FR"/>
        </w:rPr>
        <w:t>[GC],</w:t>
      </w:r>
      <w:r w:rsidR="0020444B" w:rsidRPr="00DE7A42">
        <w:rPr>
          <w:i/>
          <w:iCs/>
          <w:lang w:val="fr-FR"/>
        </w:rPr>
        <w:t xml:space="preserve"> </w:t>
      </w:r>
      <w:r w:rsidR="0020444B" w:rsidRPr="00DE7A42">
        <w:rPr>
          <w:lang w:val="fr-FR"/>
        </w:rPr>
        <w:t>n</w:t>
      </w:r>
      <w:r w:rsidR="0020444B" w:rsidRPr="00DE7A42">
        <w:rPr>
          <w:vertAlign w:val="superscript"/>
          <w:lang w:val="fr-FR"/>
        </w:rPr>
        <w:t xml:space="preserve">o </w:t>
      </w:r>
      <w:r w:rsidR="0020444B" w:rsidRPr="00DE7A42">
        <w:rPr>
          <w:lang w:val="fr-FR"/>
        </w:rPr>
        <w:t xml:space="preserve">42326/98, § 40, CEDH 2003-III ; </w:t>
      </w:r>
      <w:r w:rsidR="0020444B" w:rsidRPr="00DE7A42">
        <w:rPr>
          <w:i/>
          <w:lang w:val="fr-FR"/>
        </w:rPr>
        <w:t>S.H. et autres c. Autriche</w:t>
      </w:r>
      <w:r w:rsidR="0020444B" w:rsidRPr="00DE7A42">
        <w:rPr>
          <w:lang w:val="fr-FR"/>
        </w:rPr>
        <w:t xml:space="preserve"> [GC], n</w:t>
      </w:r>
      <w:r w:rsidR="004831D1" w:rsidRPr="00DE7A42">
        <w:rPr>
          <w:vertAlign w:val="superscript"/>
          <w:lang w:val="fr-FR"/>
        </w:rPr>
        <w:t>o</w:t>
      </w:r>
      <w:r w:rsidR="0020444B" w:rsidRPr="00DE7A42">
        <w:rPr>
          <w:lang w:val="fr-FR"/>
        </w:rPr>
        <w:t xml:space="preserve"> 57813/00, § 87, CEDH-2011</w:t>
      </w:r>
      <w:r w:rsidR="00315062" w:rsidRPr="00DE7A42">
        <w:rPr>
          <w:lang w:val="fr-FR"/>
        </w:rPr>
        <w:t>)</w:t>
      </w:r>
      <w:r w:rsidR="00BE24CD" w:rsidRPr="00DE7A42">
        <w:rPr>
          <w:lang w:val="fr-FR"/>
        </w:rPr>
        <w:t>, en tenant compte toutefois de ce que l</w:t>
      </w:r>
      <w:r w:rsidR="00DE7A42" w:rsidRPr="00DE7A42">
        <w:rPr>
          <w:lang w:val="fr-FR"/>
        </w:rPr>
        <w:t>’</w:t>
      </w:r>
      <w:r w:rsidR="00BE24CD" w:rsidRPr="00DE7A42">
        <w:rPr>
          <w:lang w:val="fr-FR"/>
        </w:rPr>
        <w:t>intérêt supérieur de l</w:t>
      </w:r>
      <w:r w:rsidR="00DE7A42" w:rsidRPr="00DE7A42">
        <w:rPr>
          <w:lang w:val="fr-FR"/>
        </w:rPr>
        <w:t>’</w:t>
      </w:r>
      <w:r w:rsidR="00BE24CD" w:rsidRPr="00DE7A42">
        <w:rPr>
          <w:lang w:val="fr-FR"/>
        </w:rPr>
        <w:t xml:space="preserve">enfant doit constituer la considération déterminante (en ce sens, </w:t>
      </w:r>
      <w:r w:rsidR="00195572" w:rsidRPr="00DE7A42">
        <w:rPr>
          <w:i/>
          <w:lang w:val="fr-FR"/>
        </w:rPr>
        <w:t>Gnahoré</w:t>
      </w:r>
      <w:r w:rsidR="00BE24CD" w:rsidRPr="00DE7A42">
        <w:rPr>
          <w:lang w:val="fr-FR"/>
        </w:rPr>
        <w:t xml:space="preserve"> </w:t>
      </w:r>
      <w:r w:rsidR="00195572" w:rsidRPr="00DE7A42">
        <w:rPr>
          <w:i/>
          <w:lang w:val="fr-FR"/>
        </w:rPr>
        <w:t>c. France</w:t>
      </w:r>
      <w:r w:rsidR="00195572" w:rsidRPr="00DE7A42">
        <w:rPr>
          <w:lang w:val="fr-FR"/>
        </w:rPr>
        <w:t>, n</w:t>
      </w:r>
      <w:r w:rsidR="00195572" w:rsidRPr="00DE7A42">
        <w:rPr>
          <w:vertAlign w:val="superscript"/>
          <w:lang w:val="fr-FR"/>
        </w:rPr>
        <w:t>o</w:t>
      </w:r>
      <w:r w:rsidR="00195572" w:rsidRPr="00DE7A42">
        <w:rPr>
          <w:lang w:val="fr-FR"/>
        </w:rPr>
        <w:t> 40031/98, § </w:t>
      </w:r>
      <w:r w:rsidR="00BE24CD" w:rsidRPr="00DE7A42">
        <w:rPr>
          <w:lang w:val="fr-FR"/>
        </w:rPr>
        <w:t>59, CEDH 2000-IX), pouvant, selon sa nature et sa gravité, l</w:t>
      </w:r>
      <w:r w:rsidR="00DE7A42" w:rsidRPr="00DE7A42">
        <w:rPr>
          <w:lang w:val="fr-FR"/>
        </w:rPr>
        <w:t>’</w:t>
      </w:r>
      <w:r w:rsidR="00BE24CD" w:rsidRPr="00DE7A42">
        <w:rPr>
          <w:lang w:val="fr-FR"/>
        </w:rPr>
        <w:t>emporter sur celui des parents (</w:t>
      </w:r>
      <w:r w:rsidR="00BE24CD" w:rsidRPr="00DE7A42">
        <w:rPr>
          <w:i/>
          <w:lang w:val="fr-FR"/>
        </w:rPr>
        <w:t>Sahin c. Allemagne</w:t>
      </w:r>
      <w:r w:rsidR="00BE24CD" w:rsidRPr="00DE7A42">
        <w:rPr>
          <w:lang w:val="fr-FR"/>
        </w:rPr>
        <w:t xml:space="preserve"> [GC], n</w:t>
      </w:r>
      <w:r w:rsidR="00BE24CD" w:rsidRPr="00DE7A42">
        <w:rPr>
          <w:vertAlign w:val="superscript"/>
          <w:lang w:val="fr-FR"/>
        </w:rPr>
        <w:t xml:space="preserve">o </w:t>
      </w:r>
      <w:r w:rsidR="00BE24CD" w:rsidRPr="00DE7A42">
        <w:rPr>
          <w:lang w:val="fr-FR"/>
        </w:rPr>
        <w:t>30943/96, § 66, CEDH 2003-VIII). L</w:t>
      </w:r>
      <w:r w:rsidR="00DE7A42" w:rsidRPr="00DE7A42">
        <w:rPr>
          <w:lang w:val="fr-FR"/>
        </w:rPr>
        <w:t>’</w:t>
      </w:r>
      <w:r w:rsidR="00BE24CD" w:rsidRPr="00DE7A42">
        <w:rPr>
          <w:lang w:val="fr-FR"/>
        </w:rPr>
        <w:t>intérêt de ces derniers, notamment à bénéficier d</w:t>
      </w:r>
      <w:r w:rsidR="00DE7A42" w:rsidRPr="00DE7A42">
        <w:rPr>
          <w:lang w:val="fr-FR"/>
        </w:rPr>
        <w:t>’</w:t>
      </w:r>
      <w:r w:rsidR="00BE24CD" w:rsidRPr="00DE7A42">
        <w:rPr>
          <w:lang w:val="fr-FR"/>
        </w:rPr>
        <w:t>un contact régulier avec l</w:t>
      </w:r>
      <w:r w:rsidR="00DE7A42" w:rsidRPr="00DE7A42">
        <w:rPr>
          <w:lang w:val="fr-FR"/>
        </w:rPr>
        <w:t>’</w:t>
      </w:r>
      <w:r w:rsidR="00BE24CD" w:rsidRPr="00DE7A42">
        <w:rPr>
          <w:lang w:val="fr-FR"/>
        </w:rPr>
        <w:t>enfant, reste néanmoins un facteur dans la balance des différents intérêts en jeu (</w:t>
      </w:r>
      <w:r w:rsidR="00BE24CD" w:rsidRPr="00DE7A42">
        <w:rPr>
          <w:i/>
          <w:lang w:val="fr-FR"/>
        </w:rPr>
        <w:t>Haase c. Allemagne,</w:t>
      </w:r>
      <w:r w:rsidR="00BE24CD" w:rsidRPr="00DE7A42">
        <w:rPr>
          <w:lang w:val="fr-FR"/>
        </w:rPr>
        <w:t xml:space="preserve"> n</w:t>
      </w:r>
      <w:r w:rsidR="00BE24CD" w:rsidRPr="00DE7A42">
        <w:rPr>
          <w:vertAlign w:val="superscript"/>
          <w:lang w:val="fr-FR"/>
        </w:rPr>
        <w:t xml:space="preserve">o </w:t>
      </w:r>
      <w:r w:rsidR="00BE24CD" w:rsidRPr="00DE7A42">
        <w:rPr>
          <w:lang w:val="fr-FR"/>
        </w:rPr>
        <w:t>11057/02, § 89, CEDH 2004-III (extraits).</w:t>
      </w:r>
    </w:p>
    <w:p w:rsidR="00AC0877" w:rsidRPr="00DE7A42" w:rsidRDefault="00AC087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59</w:t>
      </w:r>
      <w:r w:rsidRPr="00DE7A42">
        <w:rPr>
          <w:lang w:val="fr-FR"/>
        </w:rPr>
        <w:fldChar w:fldCharType="end"/>
      </w:r>
      <w:r w:rsidRPr="00DE7A42">
        <w:rPr>
          <w:lang w:val="fr-FR"/>
        </w:rPr>
        <w:t>.  L</w:t>
      </w:r>
      <w:r w:rsidR="00DE7A42" w:rsidRPr="00DE7A42">
        <w:rPr>
          <w:lang w:val="fr-FR"/>
        </w:rPr>
        <w:t>’</w:t>
      </w:r>
      <w:r w:rsidRPr="00DE7A42">
        <w:rPr>
          <w:lang w:val="fr-FR"/>
        </w:rPr>
        <w:t>article 8 implique ainsi le droit d</w:t>
      </w:r>
      <w:r w:rsidR="00DE7A42" w:rsidRPr="00DE7A42">
        <w:rPr>
          <w:lang w:val="fr-FR"/>
        </w:rPr>
        <w:t>’</w:t>
      </w:r>
      <w:r w:rsidRPr="00DE7A42">
        <w:rPr>
          <w:lang w:val="fr-FR"/>
        </w:rPr>
        <w:t xml:space="preserve">un parent à des mesures propres à le </w:t>
      </w:r>
      <w:r w:rsidR="009D5E02" w:rsidRPr="00DE7A42">
        <w:rPr>
          <w:lang w:val="fr-FR"/>
        </w:rPr>
        <w:t>« </w:t>
      </w:r>
      <w:r w:rsidR="001069D8" w:rsidRPr="00DE7A42">
        <w:rPr>
          <w:lang w:val="fr-FR"/>
        </w:rPr>
        <w:t>réunir</w:t>
      </w:r>
      <w:r w:rsidR="009D5E02" w:rsidRPr="00DE7A42">
        <w:rPr>
          <w:lang w:val="fr-FR"/>
        </w:rPr>
        <w:t> »</w:t>
      </w:r>
      <w:r w:rsidRPr="00DE7A42">
        <w:rPr>
          <w:lang w:val="fr-FR"/>
        </w:rPr>
        <w:t xml:space="preserve"> avec son enfant et l</w:t>
      </w:r>
      <w:r w:rsidR="00DE7A42" w:rsidRPr="00DE7A42">
        <w:rPr>
          <w:lang w:val="fr-FR"/>
        </w:rPr>
        <w:t>’</w:t>
      </w:r>
      <w:r w:rsidRPr="00DE7A42">
        <w:rPr>
          <w:lang w:val="fr-FR"/>
        </w:rPr>
        <w:t>obligation des autorités nationales de les prendre (</w:t>
      </w:r>
      <w:r w:rsidRPr="00DE7A42">
        <w:rPr>
          <w:i/>
          <w:lang w:val="fr-FR"/>
        </w:rPr>
        <w:t>Hokkanen c. Finlande</w:t>
      </w:r>
      <w:r w:rsidRPr="00DE7A42">
        <w:rPr>
          <w:lang w:val="fr-FR"/>
        </w:rPr>
        <w:t>, arrêt du 23 septembre 1994, série A no 299-A, § 55</w:t>
      </w:r>
      <w:r w:rsidR="00DD4BF3" w:rsidRPr="00DE7A42">
        <w:rPr>
          <w:lang w:val="fr-FR"/>
        </w:rPr>
        <w:t xml:space="preserve"> ; </w:t>
      </w:r>
      <w:r w:rsidR="00DD4BF3" w:rsidRPr="00DE7A42">
        <w:rPr>
          <w:i/>
          <w:lang w:val="fr-FR"/>
        </w:rPr>
        <w:t>Sommerfeld c. Allemagne</w:t>
      </w:r>
      <w:r w:rsidR="00DD4BF3" w:rsidRPr="00DE7A42">
        <w:rPr>
          <w:lang w:val="fr-FR"/>
        </w:rPr>
        <w:t xml:space="preserve"> [GC], n</w:t>
      </w:r>
      <w:r w:rsidR="004831D1" w:rsidRPr="00DE7A42">
        <w:rPr>
          <w:vertAlign w:val="superscript"/>
          <w:lang w:val="fr-FR"/>
        </w:rPr>
        <w:t>o</w:t>
      </w:r>
      <w:r w:rsidR="00DD4BF3" w:rsidRPr="00DE7A42">
        <w:rPr>
          <w:lang w:val="fr-FR"/>
        </w:rPr>
        <w:t xml:space="preserve"> 31871/96, §§ 60-66, CEDH 2003-VIII</w:t>
      </w:r>
      <w:r w:rsidRPr="00DE7A42">
        <w:rPr>
          <w:lang w:val="fr-FR"/>
        </w:rPr>
        <w:t>).</w:t>
      </w:r>
      <w:r w:rsidR="00A00D78" w:rsidRPr="00DE7A42">
        <w:rPr>
          <w:lang w:val="fr-FR"/>
        </w:rPr>
        <w:t xml:space="preserve"> La Cour a souligné l</w:t>
      </w:r>
      <w:r w:rsidR="00DE7A42" w:rsidRPr="00DE7A42">
        <w:rPr>
          <w:lang w:val="fr-FR"/>
        </w:rPr>
        <w:t>’</w:t>
      </w:r>
      <w:r w:rsidR="00A00D78" w:rsidRPr="00DE7A42">
        <w:rPr>
          <w:lang w:val="fr-FR"/>
        </w:rPr>
        <w:t>importance du droit d</w:t>
      </w:r>
      <w:r w:rsidR="00DE7A42" w:rsidRPr="00DE7A42">
        <w:rPr>
          <w:lang w:val="fr-FR"/>
        </w:rPr>
        <w:t>’</w:t>
      </w:r>
      <w:r w:rsidR="00A00D78" w:rsidRPr="00DE7A42">
        <w:rPr>
          <w:lang w:val="fr-FR"/>
        </w:rPr>
        <w:t>un parent d</w:t>
      </w:r>
      <w:r w:rsidR="00DE7A42" w:rsidRPr="00DE7A42">
        <w:rPr>
          <w:lang w:val="fr-FR"/>
        </w:rPr>
        <w:t>’</w:t>
      </w:r>
      <w:r w:rsidR="00A00D78" w:rsidRPr="00DE7A42">
        <w:rPr>
          <w:lang w:val="fr-FR"/>
        </w:rPr>
        <w:t>avoir accès aux éléments pertinents du doss</w:t>
      </w:r>
      <w:r w:rsidR="00A270F1" w:rsidRPr="00DE7A42">
        <w:rPr>
          <w:lang w:val="fr-FR"/>
        </w:rPr>
        <w:t>i</w:t>
      </w:r>
      <w:r w:rsidR="00A00D78" w:rsidRPr="00DE7A42">
        <w:rPr>
          <w:lang w:val="fr-FR"/>
        </w:rPr>
        <w:t>er, contenus notamment dans des rapports pédopsychiatriques, et d</w:t>
      </w:r>
      <w:r w:rsidR="00DE7A42" w:rsidRPr="00DE7A42">
        <w:rPr>
          <w:lang w:val="fr-FR"/>
        </w:rPr>
        <w:t>’</w:t>
      </w:r>
      <w:r w:rsidR="00A00D78" w:rsidRPr="00DE7A42">
        <w:rPr>
          <w:lang w:val="fr-FR"/>
        </w:rPr>
        <w:t xml:space="preserve">être impliqués </w:t>
      </w:r>
      <w:r w:rsidR="00C54E34" w:rsidRPr="00DE7A42">
        <w:rPr>
          <w:lang w:val="fr-FR"/>
        </w:rPr>
        <w:t>dans le processus de l</w:t>
      </w:r>
      <w:r w:rsidR="00DE7A42" w:rsidRPr="00DE7A42">
        <w:rPr>
          <w:lang w:val="fr-FR"/>
        </w:rPr>
        <w:t>’</w:t>
      </w:r>
      <w:r w:rsidR="00C54E34" w:rsidRPr="00DE7A42">
        <w:rPr>
          <w:lang w:val="fr-FR"/>
        </w:rPr>
        <w:t>établissement de ces rapports (</w:t>
      </w:r>
      <w:r w:rsidR="00C54E34" w:rsidRPr="00DE7A42">
        <w:rPr>
          <w:i/>
          <w:lang w:val="fr-FR"/>
        </w:rPr>
        <w:t>Kosmopoulou c. Grèce</w:t>
      </w:r>
      <w:r w:rsidR="00C54E34" w:rsidRPr="00DE7A42">
        <w:rPr>
          <w:lang w:val="fr-FR"/>
        </w:rPr>
        <w:t>, n</w:t>
      </w:r>
      <w:r w:rsidR="004831D1" w:rsidRPr="00DE7A42">
        <w:rPr>
          <w:vertAlign w:val="superscript"/>
          <w:lang w:val="fr-FR"/>
        </w:rPr>
        <w:t>o</w:t>
      </w:r>
      <w:r w:rsidR="00C54E34" w:rsidRPr="00DE7A42">
        <w:rPr>
          <w:lang w:val="fr-FR"/>
        </w:rPr>
        <w:t xml:space="preserve"> 60457/00, § 49, 5 février 2004).</w:t>
      </w:r>
    </w:p>
    <w:p w:rsidR="00AC0877" w:rsidRPr="00DE7A42" w:rsidRDefault="00AC087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60</w:t>
      </w:r>
      <w:r w:rsidRPr="00DE7A42">
        <w:rPr>
          <w:lang w:val="fr-FR"/>
        </w:rPr>
        <w:fldChar w:fldCharType="end"/>
      </w:r>
      <w:r w:rsidRPr="00DE7A42">
        <w:rPr>
          <w:lang w:val="fr-FR"/>
        </w:rPr>
        <w:t>.  La Cour rappelle que l</w:t>
      </w:r>
      <w:r w:rsidR="00DE7A42" w:rsidRPr="00DE7A42">
        <w:rPr>
          <w:lang w:val="fr-FR"/>
        </w:rPr>
        <w:t>’</w:t>
      </w:r>
      <w:r w:rsidRPr="00DE7A42">
        <w:rPr>
          <w:lang w:val="fr-FR"/>
        </w:rPr>
        <w:t xml:space="preserve">obligation des </w:t>
      </w:r>
      <w:r w:rsidR="00BD75BA" w:rsidRPr="00DE7A42">
        <w:rPr>
          <w:lang w:val="fr-FR"/>
        </w:rPr>
        <w:t>autorités</w:t>
      </w:r>
      <w:r w:rsidRPr="00DE7A42">
        <w:rPr>
          <w:lang w:val="fr-FR"/>
        </w:rPr>
        <w:t xml:space="preserve"> nationales de prendre des mesures à cette fin n</w:t>
      </w:r>
      <w:r w:rsidR="00DE7A42" w:rsidRPr="00DE7A42">
        <w:rPr>
          <w:lang w:val="fr-FR"/>
        </w:rPr>
        <w:t>’</w:t>
      </w:r>
      <w:r w:rsidRPr="00DE7A42">
        <w:rPr>
          <w:lang w:val="fr-FR"/>
        </w:rPr>
        <w:t xml:space="preserve">est pas absolue car il arrive que la </w:t>
      </w:r>
      <w:r w:rsidR="008F5ACB" w:rsidRPr="00DE7A42">
        <w:rPr>
          <w:lang w:val="fr-FR"/>
        </w:rPr>
        <w:t xml:space="preserve">reprise de contacts </w:t>
      </w:r>
      <w:r w:rsidRPr="00DE7A42">
        <w:rPr>
          <w:lang w:val="fr-FR"/>
        </w:rPr>
        <w:t>d</w:t>
      </w:r>
      <w:r w:rsidR="00DE7A42" w:rsidRPr="00DE7A42">
        <w:rPr>
          <w:lang w:val="fr-FR"/>
        </w:rPr>
        <w:t>’</w:t>
      </w:r>
      <w:r w:rsidRPr="00DE7A42">
        <w:rPr>
          <w:lang w:val="fr-FR"/>
        </w:rPr>
        <w:t xml:space="preserve">un parent avec son enfant </w:t>
      </w:r>
      <w:r w:rsidR="00BD75BA" w:rsidRPr="00DE7A42">
        <w:rPr>
          <w:lang w:val="fr-FR"/>
        </w:rPr>
        <w:t>ayant</w:t>
      </w:r>
      <w:r w:rsidRPr="00DE7A42">
        <w:rPr>
          <w:lang w:val="fr-FR"/>
        </w:rPr>
        <w:t xml:space="preserve"> </w:t>
      </w:r>
      <w:r w:rsidR="00BD75BA" w:rsidRPr="00DE7A42">
        <w:rPr>
          <w:lang w:val="fr-FR"/>
        </w:rPr>
        <w:t>vécu</w:t>
      </w:r>
      <w:r w:rsidRPr="00DE7A42">
        <w:rPr>
          <w:lang w:val="fr-FR"/>
        </w:rPr>
        <w:t xml:space="preserve"> depuis un certain temps avec d</w:t>
      </w:r>
      <w:r w:rsidR="00DE7A42" w:rsidRPr="00DE7A42">
        <w:rPr>
          <w:lang w:val="fr-FR"/>
        </w:rPr>
        <w:t>’</w:t>
      </w:r>
      <w:r w:rsidRPr="00DE7A42">
        <w:rPr>
          <w:lang w:val="fr-FR"/>
        </w:rPr>
        <w:t xml:space="preserve">autres personnes ne puisse avoir lieu </w:t>
      </w:r>
      <w:r w:rsidR="000B7562" w:rsidRPr="00DE7A42">
        <w:rPr>
          <w:lang w:val="fr-FR"/>
        </w:rPr>
        <w:t>immédiatement</w:t>
      </w:r>
      <w:r w:rsidR="001069D8" w:rsidRPr="00DE7A42">
        <w:rPr>
          <w:lang w:val="fr-FR"/>
        </w:rPr>
        <w:t>, et requiert</w:t>
      </w:r>
      <w:r w:rsidRPr="00DE7A42">
        <w:rPr>
          <w:lang w:val="fr-FR"/>
        </w:rPr>
        <w:t xml:space="preserve"> des </w:t>
      </w:r>
      <w:r w:rsidR="00BD75BA" w:rsidRPr="00DE7A42">
        <w:rPr>
          <w:lang w:val="fr-FR"/>
        </w:rPr>
        <w:t>préparatifs</w:t>
      </w:r>
      <w:r w:rsidRPr="00DE7A42">
        <w:rPr>
          <w:lang w:val="fr-FR"/>
        </w:rPr>
        <w:t xml:space="preserve">. Leur nature et leur </w:t>
      </w:r>
      <w:r w:rsidR="00736479" w:rsidRPr="00DE7A42">
        <w:rPr>
          <w:lang w:val="fr-FR"/>
        </w:rPr>
        <w:t>é</w:t>
      </w:r>
      <w:r w:rsidR="00BD75BA" w:rsidRPr="00DE7A42">
        <w:rPr>
          <w:lang w:val="fr-FR"/>
        </w:rPr>
        <w:t>tendue</w:t>
      </w:r>
      <w:r w:rsidRPr="00DE7A42">
        <w:rPr>
          <w:lang w:val="fr-FR"/>
        </w:rPr>
        <w:t xml:space="preserve"> </w:t>
      </w:r>
      <w:r w:rsidR="00BD75BA" w:rsidRPr="00DE7A42">
        <w:rPr>
          <w:lang w:val="fr-FR"/>
        </w:rPr>
        <w:t>dépendent</w:t>
      </w:r>
      <w:r w:rsidRPr="00DE7A42">
        <w:rPr>
          <w:lang w:val="fr-FR"/>
        </w:rPr>
        <w:t xml:space="preserve"> des circonstances de chaque </w:t>
      </w:r>
      <w:r w:rsidR="00BD75BA" w:rsidRPr="00DE7A42">
        <w:rPr>
          <w:lang w:val="fr-FR"/>
        </w:rPr>
        <w:t>espèce</w:t>
      </w:r>
      <w:r w:rsidRPr="00DE7A42">
        <w:rPr>
          <w:lang w:val="fr-FR"/>
        </w:rPr>
        <w:t xml:space="preserve">, mais la </w:t>
      </w:r>
      <w:r w:rsidR="00BD75BA" w:rsidRPr="00DE7A42">
        <w:rPr>
          <w:lang w:val="fr-FR"/>
        </w:rPr>
        <w:t>compréhension</w:t>
      </w:r>
      <w:r w:rsidRPr="00DE7A42">
        <w:rPr>
          <w:lang w:val="fr-FR"/>
        </w:rPr>
        <w:t xml:space="preserve"> et la </w:t>
      </w:r>
      <w:r w:rsidR="00BD75BA" w:rsidRPr="00DE7A42">
        <w:rPr>
          <w:lang w:val="fr-FR"/>
        </w:rPr>
        <w:t>coopération</w:t>
      </w:r>
      <w:r w:rsidRPr="00DE7A42">
        <w:rPr>
          <w:lang w:val="fr-FR"/>
        </w:rPr>
        <w:t xml:space="preserve"> de l</w:t>
      </w:r>
      <w:r w:rsidR="00DE7A42" w:rsidRPr="00DE7A42">
        <w:rPr>
          <w:lang w:val="fr-FR"/>
        </w:rPr>
        <w:t>’</w:t>
      </w:r>
      <w:r w:rsidRPr="00DE7A42">
        <w:rPr>
          <w:lang w:val="fr-FR"/>
        </w:rPr>
        <w:t xml:space="preserve">ensemble des personnes </w:t>
      </w:r>
      <w:r w:rsidR="00BD75BA" w:rsidRPr="00DE7A42">
        <w:rPr>
          <w:lang w:val="fr-FR"/>
        </w:rPr>
        <w:t>concernées</w:t>
      </w:r>
      <w:r w:rsidRPr="00DE7A42">
        <w:rPr>
          <w:lang w:val="fr-FR"/>
        </w:rPr>
        <w:t xml:space="preserve"> en constituera toujours un facteur important. Si les </w:t>
      </w:r>
      <w:r w:rsidR="00BD75BA" w:rsidRPr="00DE7A42">
        <w:rPr>
          <w:lang w:val="fr-FR"/>
        </w:rPr>
        <w:t>autorités</w:t>
      </w:r>
      <w:r w:rsidRPr="00DE7A42">
        <w:rPr>
          <w:lang w:val="fr-FR"/>
        </w:rPr>
        <w:t xml:space="preserve"> nationales doivent s</w:t>
      </w:r>
      <w:r w:rsidR="00DE7A42" w:rsidRPr="00DE7A42">
        <w:rPr>
          <w:lang w:val="fr-FR"/>
        </w:rPr>
        <w:t>’</w:t>
      </w:r>
      <w:r w:rsidR="00BD75BA" w:rsidRPr="00DE7A42">
        <w:rPr>
          <w:lang w:val="fr-FR"/>
        </w:rPr>
        <w:t>évertuer</w:t>
      </w:r>
      <w:r w:rsidRPr="00DE7A42">
        <w:rPr>
          <w:lang w:val="fr-FR"/>
        </w:rPr>
        <w:t xml:space="preserve"> à faciliter pareille collaboration, leur obligation de recourir à la coercition en la </w:t>
      </w:r>
      <w:r w:rsidR="00BD75BA" w:rsidRPr="00DE7A42">
        <w:rPr>
          <w:lang w:val="fr-FR"/>
        </w:rPr>
        <w:t>matière</w:t>
      </w:r>
      <w:r w:rsidRPr="00DE7A42">
        <w:rPr>
          <w:lang w:val="fr-FR"/>
        </w:rPr>
        <w:t xml:space="preserve"> doit </w:t>
      </w:r>
      <w:r w:rsidR="00BD75BA" w:rsidRPr="00DE7A42">
        <w:rPr>
          <w:lang w:val="fr-FR"/>
        </w:rPr>
        <w:t>être</w:t>
      </w:r>
      <w:r w:rsidRPr="00DE7A42">
        <w:rPr>
          <w:lang w:val="fr-FR"/>
        </w:rPr>
        <w:t xml:space="preserve"> </w:t>
      </w:r>
      <w:r w:rsidR="00BD75BA" w:rsidRPr="00DE7A42">
        <w:rPr>
          <w:lang w:val="fr-FR"/>
        </w:rPr>
        <w:t>limitée</w:t>
      </w:r>
      <w:r w:rsidR="00336512" w:rsidRPr="00DE7A42">
        <w:rPr>
          <w:lang w:val="fr-FR"/>
        </w:rPr>
        <w:t> : il leur faut tenir compte des intérêts et des droits et libertés de ces mêmes personnes, et notamment des intérêts supérieurs de l</w:t>
      </w:r>
      <w:r w:rsidR="00DE7A42" w:rsidRPr="00DE7A42">
        <w:rPr>
          <w:lang w:val="fr-FR"/>
        </w:rPr>
        <w:t>’</w:t>
      </w:r>
      <w:r w:rsidR="00336512" w:rsidRPr="00DE7A42">
        <w:rPr>
          <w:lang w:val="fr-FR"/>
        </w:rPr>
        <w:t>enfant et des droits que lui reconnait l</w:t>
      </w:r>
      <w:r w:rsidR="00DE7A42" w:rsidRPr="00DE7A42">
        <w:rPr>
          <w:lang w:val="fr-FR"/>
        </w:rPr>
        <w:t>’</w:t>
      </w:r>
      <w:r w:rsidR="00336512" w:rsidRPr="00DE7A42">
        <w:rPr>
          <w:lang w:val="fr-FR"/>
        </w:rPr>
        <w:t>article 8 de la Convention. En effet, la Cour a souligné que la plus grande prudence s</w:t>
      </w:r>
      <w:r w:rsidR="00DE7A42" w:rsidRPr="00DE7A42">
        <w:rPr>
          <w:lang w:val="fr-FR"/>
        </w:rPr>
        <w:t>’</w:t>
      </w:r>
      <w:r w:rsidR="00336512" w:rsidRPr="00DE7A42">
        <w:rPr>
          <w:lang w:val="fr-FR"/>
        </w:rPr>
        <w:t>impose lorsqu</w:t>
      </w:r>
      <w:r w:rsidR="00DE7A42" w:rsidRPr="00DE7A42">
        <w:rPr>
          <w:lang w:val="fr-FR"/>
        </w:rPr>
        <w:t>’</w:t>
      </w:r>
      <w:r w:rsidR="00336512" w:rsidRPr="00DE7A42">
        <w:rPr>
          <w:lang w:val="fr-FR"/>
        </w:rPr>
        <w:t>il s</w:t>
      </w:r>
      <w:r w:rsidR="00DE7A42" w:rsidRPr="00DE7A42">
        <w:rPr>
          <w:lang w:val="fr-FR"/>
        </w:rPr>
        <w:t>’</w:t>
      </w:r>
      <w:r w:rsidR="00336512" w:rsidRPr="00DE7A42">
        <w:rPr>
          <w:lang w:val="fr-FR"/>
        </w:rPr>
        <w:t>agit de recourir à la coercition en ce domaine délicat (</w:t>
      </w:r>
      <w:r w:rsidR="00336512" w:rsidRPr="00DE7A42">
        <w:rPr>
          <w:i/>
          <w:lang w:val="fr-FR"/>
        </w:rPr>
        <w:t>Reigado Ramos c. Portugal</w:t>
      </w:r>
      <w:r w:rsidR="00336512" w:rsidRPr="00DE7A42">
        <w:rPr>
          <w:lang w:val="fr-FR"/>
        </w:rPr>
        <w:t xml:space="preserve">, </w:t>
      </w:r>
      <w:r w:rsidR="00336512" w:rsidRPr="00DE7A42">
        <w:rPr>
          <w:szCs w:val="24"/>
          <w:lang w:val="fr-FR"/>
        </w:rPr>
        <w:t>n</w:t>
      </w:r>
      <w:r w:rsidR="004831D1" w:rsidRPr="00DE7A42">
        <w:rPr>
          <w:szCs w:val="24"/>
          <w:vertAlign w:val="superscript"/>
          <w:lang w:val="fr-FR"/>
        </w:rPr>
        <w:t>o</w:t>
      </w:r>
      <w:r w:rsidR="00336512" w:rsidRPr="00DE7A42">
        <w:rPr>
          <w:szCs w:val="24"/>
          <w:lang w:val="fr-FR"/>
        </w:rPr>
        <w:t xml:space="preserve"> 73229/01, </w:t>
      </w:r>
      <w:r w:rsidR="00336512" w:rsidRPr="00DE7A42">
        <w:rPr>
          <w:lang w:val="fr-FR"/>
        </w:rPr>
        <w:t xml:space="preserve">§ 53, </w:t>
      </w:r>
      <w:r w:rsidR="004831D1" w:rsidRPr="00DE7A42">
        <w:rPr>
          <w:szCs w:val="24"/>
          <w:lang w:val="fr-FR"/>
        </w:rPr>
        <w:t>22 </w:t>
      </w:r>
      <w:r w:rsidR="00336512" w:rsidRPr="00DE7A42">
        <w:rPr>
          <w:szCs w:val="24"/>
          <w:lang w:val="fr-FR"/>
        </w:rPr>
        <w:t>novembre 2005</w:t>
      </w:r>
      <w:r w:rsidR="00336512" w:rsidRPr="00DE7A42">
        <w:rPr>
          <w:lang w:val="fr-FR"/>
        </w:rPr>
        <w:t xml:space="preserve">). </w:t>
      </w:r>
      <w:r w:rsidRPr="00DE7A42">
        <w:rPr>
          <w:lang w:val="fr-FR"/>
        </w:rPr>
        <w:t>Dans l</w:t>
      </w:r>
      <w:r w:rsidR="00DE7A42" w:rsidRPr="00DE7A42">
        <w:rPr>
          <w:lang w:val="fr-FR"/>
        </w:rPr>
        <w:t>’</w:t>
      </w:r>
      <w:r w:rsidR="00BD75BA" w:rsidRPr="00DE7A42">
        <w:rPr>
          <w:lang w:val="fr-FR"/>
        </w:rPr>
        <w:t>hypothèse</w:t>
      </w:r>
      <w:r w:rsidRPr="00DE7A42">
        <w:rPr>
          <w:lang w:val="fr-FR"/>
        </w:rPr>
        <w:t xml:space="preserve"> où des contacts avec le parent risquent de menacer ces </w:t>
      </w:r>
      <w:r w:rsidR="00BD75BA" w:rsidRPr="00DE7A42">
        <w:rPr>
          <w:lang w:val="fr-FR"/>
        </w:rPr>
        <w:t>intérêts</w:t>
      </w:r>
      <w:r w:rsidRPr="00DE7A42">
        <w:rPr>
          <w:lang w:val="fr-FR"/>
        </w:rPr>
        <w:t xml:space="preserve"> ou de porter atteinte à ces droits, il revient aux </w:t>
      </w:r>
      <w:r w:rsidR="00BD75BA" w:rsidRPr="00DE7A42">
        <w:rPr>
          <w:lang w:val="fr-FR"/>
        </w:rPr>
        <w:t>autorités</w:t>
      </w:r>
      <w:r w:rsidRPr="00DE7A42">
        <w:rPr>
          <w:lang w:val="fr-FR"/>
        </w:rPr>
        <w:t xml:space="preserve"> nationales de veiller à un juste </w:t>
      </w:r>
      <w:r w:rsidR="00BD75BA" w:rsidRPr="00DE7A42">
        <w:rPr>
          <w:lang w:val="fr-FR"/>
        </w:rPr>
        <w:t>équilibre</w:t>
      </w:r>
      <w:r w:rsidRPr="00DE7A42">
        <w:rPr>
          <w:lang w:val="fr-FR"/>
        </w:rPr>
        <w:t xml:space="preserve"> entre eux. Le point </w:t>
      </w:r>
      <w:r w:rsidR="00161F7F" w:rsidRPr="00DE7A42">
        <w:rPr>
          <w:lang w:val="fr-FR"/>
        </w:rPr>
        <w:t>décisif</w:t>
      </w:r>
      <w:r w:rsidRPr="00DE7A42">
        <w:rPr>
          <w:lang w:val="fr-FR"/>
        </w:rPr>
        <w:t xml:space="preserve"> consiste à savoir si les </w:t>
      </w:r>
      <w:r w:rsidR="00161F7F" w:rsidRPr="00DE7A42">
        <w:rPr>
          <w:lang w:val="fr-FR"/>
        </w:rPr>
        <w:t>autorités</w:t>
      </w:r>
      <w:r w:rsidRPr="00DE7A42">
        <w:rPr>
          <w:lang w:val="fr-FR"/>
        </w:rPr>
        <w:t xml:space="preserve"> nationales ont pris, pour faciliter le</w:t>
      </w:r>
      <w:r w:rsidR="008F5ACB" w:rsidRPr="00DE7A42">
        <w:rPr>
          <w:lang w:val="fr-FR"/>
        </w:rPr>
        <w:t>s contacts familiaux</w:t>
      </w:r>
      <w:r w:rsidRPr="00DE7A42">
        <w:rPr>
          <w:lang w:val="fr-FR"/>
        </w:rPr>
        <w:t xml:space="preserve">, toutes les mesures </w:t>
      </w:r>
      <w:r w:rsidR="00161F7F" w:rsidRPr="00DE7A42">
        <w:rPr>
          <w:lang w:val="fr-FR"/>
        </w:rPr>
        <w:t>nécessaires</w:t>
      </w:r>
      <w:r w:rsidRPr="00DE7A42">
        <w:rPr>
          <w:lang w:val="fr-FR"/>
        </w:rPr>
        <w:t xml:space="preserve"> que l</w:t>
      </w:r>
      <w:r w:rsidR="00DE7A42" w:rsidRPr="00DE7A42">
        <w:rPr>
          <w:lang w:val="fr-FR"/>
        </w:rPr>
        <w:t>’</w:t>
      </w:r>
      <w:r w:rsidRPr="00DE7A42">
        <w:rPr>
          <w:lang w:val="fr-FR"/>
        </w:rPr>
        <w:t>on pouvait raisonnablement exiger d</w:t>
      </w:r>
      <w:r w:rsidR="00DE7A42" w:rsidRPr="00DE7A42">
        <w:rPr>
          <w:lang w:val="fr-FR"/>
        </w:rPr>
        <w:t>’</w:t>
      </w:r>
      <w:r w:rsidRPr="00DE7A42">
        <w:rPr>
          <w:lang w:val="fr-FR"/>
        </w:rPr>
        <w:t>elles en l</w:t>
      </w:r>
      <w:r w:rsidR="00DE7A42" w:rsidRPr="00DE7A42">
        <w:rPr>
          <w:lang w:val="fr-FR"/>
        </w:rPr>
        <w:t>’</w:t>
      </w:r>
      <w:r w:rsidRPr="00DE7A42">
        <w:rPr>
          <w:lang w:val="fr-FR"/>
        </w:rPr>
        <w:t xml:space="preserve">occurrence (voir </w:t>
      </w:r>
      <w:r w:rsidRPr="00DE7A42">
        <w:rPr>
          <w:i/>
          <w:lang w:val="fr-FR"/>
        </w:rPr>
        <w:t>Hokkanen</w:t>
      </w:r>
      <w:r w:rsidR="004831D1" w:rsidRPr="00DE7A42">
        <w:rPr>
          <w:lang w:val="fr-FR"/>
        </w:rPr>
        <w:t xml:space="preserve"> précité, § </w:t>
      </w:r>
      <w:r w:rsidR="00CA1504" w:rsidRPr="00DE7A42">
        <w:rPr>
          <w:lang w:val="fr-FR"/>
        </w:rPr>
        <w:t>58 ;</w:t>
      </w:r>
      <w:r w:rsidRPr="00DE7A42">
        <w:rPr>
          <w:lang w:val="fr-FR"/>
        </w:rPr>
        <w:t xml:space="preserve"> </w:t>
      </w:r>
      <w:r w:rsidRPr="00DE7A42">
        <w:rPr>
          <w:i/>
          <w:szCs w:val="24"/>
          <w:lang w:val="fr-FR"/>
        </w:rPr>
        <w:t>Zawadka c. Pologne</w:t>
      </w:r>
      <w:r w:rsidRPr="00DE7A42">
        <w:rPr>
          <w:szCs w:val="24"/>
          <w:lang w:val="fr-FR"/>
        </w:rPr>
        <w:t>, n</w:t>
      </w:r>
      <w:r w:rsidRPr="00DE7A42">
        <w:rPr>
          <w:szCs w:val="24"/>
          <w:vertAlign w:val="superscript"/>
          <w:lang w:val="fr-FR"/>
        </w:rPr>
        <w:t>o</w:t>
      </w:r>
      <w:r w:rsidRPr="00DE7A42">
        <w:rPr>
          <w:szCs w:val="24"/>
          <w:lang w:val="fr-FR"/>
        </w:rPr>
        <w:t xml:space="preserve"> 48542/99, § 56, 23 juin 2005</w:t>
      </w:r>
      <w:r w:rsidR="00CA1504" w:rsidRPr="00DE7A42">
        <w:rPr>
          <w:szCs w:val="24"/>
          <w:lang w:val="fr-FR"/>
        </w:rPr>
        <w:t xml:space="preserve"> et </w:t>
      </w:r>
      <w:r w:rsidR="00CA1504" w:rsidRPr="00DE7A42">
        <w:rPr>
          <w:i/>
          <w:szCs w:val="24"/>
          <w:lang w:val="fr-FR"/>
        </w:rPr>
        <w:t>Reigado Ramos</w:t>
      </w:r>
      <w:r w:rsidR="00CA1504" w:rsidRPr="00DE7A42">
        <w:rPr>
          <w:szCs w:val="24"/>
          <w:lang w:val="fr-FR"/>
        </w:rPr>
        <w:t xml:space="preserve">, </w:t>
      </w:r>
      <w:r w:rsidR="00336512" w:rsidRPr="00DE7A42">
        <w:rPr>
          <w:szCs w:val="24"/>
          <w:lang w:val="fr-FR"/>
        </w:rPr>
        <w:t>précité, § 48</w:t>
      </w:r>
      <w:r w:rsidRPr="00DE7A42">
        <w:rPr>
          <w:lang w:val="fr-FR"/>
        </w:rPr>
        <w:t>).</w:t>
      </w:r>
    </w:p>
    <w:p w:rsidR="00DE7A42" w:rsidRPr="00DE7A42" w:rsidRDefault="00BD10B7"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61</w:t>
      </w:r>
      <w:r w:rsidRPr="00DE7A42">
        <w:rPr>
          <w:lang w:val="fr-FR"/>
        </w:rPr>
        <w:fldChar w:fldCharType="end"/>
      </w:r>
      <w:r w:rsidRPr="00DE7A42">
        <w:rPr>
          <w:lang w:val="fr-FR"/>
        </w:rPr>
        <w:t xml:space="preserve">.  La Cour rappelle </w:t>
      </w:r>
      <w:r w:rsidR="00A270F1" w:rsidRPr="00DE7A42">
        <w:rPr>
          <w:lang w:val="fr-FR"/>
        </w:rPr>
        <w:t xml:space="preserve">également </w:t>
      </w:r>
      <w:r w:rsidRPr="00DE7A42">
        <w:rPr>
          <w:lang w:val="fr-FR"/>
        </w:rPr>
        <w:t xml:space="preserve">que, dans les affaires touchant la vie familiale, la rupture du contact avec un enfant très jeune peut conduire à une altération croissante de sa relation avec son parent (voir, entre autres, </w:t>
      </w:r>
      <w:r w:rsidRPr="00DE7A42">
        <w:rPr>
          <w:i/>
          <w:lang w:val="fr-FR"/>
        </w:rPr>
        <w:t>Pini et autres c  Roumanie</w:t>
      </w:r>
      <w:r w:rsidRPr="00DE7A42">
        <w:rPr>
          <w:lang w:val="fr-FR"/>
        </w:rPr>
        <w:t xml:space="preserve">, nos 78028/01 et 78030/01, </w:t>
      </w:r>
      <w:r w:rsidR="00B63300" w:rsidRPr="00DE7A42">
        <w:rPr>
          <w:lang w:val="fr-FR"/>
        </w:rPr>
        <w:t>§ 175, CEDH 2004</w:t>
      </w:r>
      <w:r w:rsidR="00B63300" w:rsidRPr="00DE7A42">
        <w:rPr>
          <w:lang w:val="fr-FR"/>
        </w:rPr>
        <w:noBreakHyphen/>
        <w:t>V (extraits)</w:t>
      </w:r>
      <w:r w:rsidRPr="00DE7A42">
        <w:rPr>
          <w:lang w:val="fr-FR"/>
        </w:rPr>
        <w:t>).</w:t>
      </w:r>
      <w:r w:rsidR="00195572" w:rsidRPr="00DE7A42">
        <w:rPr>
          <w:lang w:val="fr-FR"/>
        </w:rPr>
        <w:t xml:space="preserve"> Les perspectives d</w:t>
      </w:r>
      <w:r w:rsidR="00DE7A42" w:rsidRPr="00DE7A42">
        <w:rPr>
          <w:lang w:val="fr-FR"/>
        </w:rPr>
        <w:t>’</w:t>
      </w:r>
      <w:r w:rsidR="00195572" w:rsidRPr="00DE7A42">
        <w:rPr>
          <w:lang w:val="fr-FR"/>
        </w:rPr>
        <w:t>une réunion familiale s</w:t>
      </w:r>
      <w:r w:rsidR="00DE7A42" w:rsidRPr="00DE7A42">
        <w:rPr>
          <w:lang w:val="fr-FR"/>
        </w:rPr>
        <w:t>’</w:t>
      </w:r>
      <w:r w:rsidR="00195572" w:rsidRPr="00DE7A42">
        <w:rPr>
          <w:lang w:val="fr-FR"/>
        </w:rPr>
        <w:t>amenuiseront peu à peu et finiront par être anéanties si les parents biologiques et les enfants ne sont jamais autorisés à se rencontrer, ou si rarement qu</w:t>
      </w:r>
      <w:r w:rsidR="00DE7A42" w:rsidRPr="00DE7A42">
        <w:rPr>
          <w:lang w:val="fr-FR"/>
        </w:rPr>
        <w:t>’</w:t>
      </w:r>
      <w:r w:rsidR="00195572" w:rsidRPr="00DE7A42">
        <w:rPr>
          <w:lang w:val="fr-FR"/>
        </w:rPr>
        <w:t>aucun lien naturel n</w:t>
      </w:r>
      <w:r w:rsidR="00DE7A42" w:rsidRPr="00DE7A42">
        <w:rPr>
          <w:lang w:val="fr-FR"/>
        </w:rPr>
        <w:t>’</w:t>
      </w:r>
      <w:r w:rsidR="00195572" w:rsidRPr="00DE7A42">
        <w:rPr>
          <w:lang w:val="fr-FR"/>
        </w:rPr>
        <w:t>a de chances de se nouer entre eux (</w:t>
      </w:r>
      <w:r w:rsidR="00195572" w:rsidRPr="00DE7A42">
        <w:rPr>
          <w:i/>
          <w:lang w:val="fr-FR"/>
        </w:rPr>
        <w:t>K.A. c. Finlande</w:t>
      </w:r>
      <w:r w:rsidR="00195572" w:rsidRPr="00DE7A42">
        <w:rPr>
          <w:lang w:val="fr-FR"/>
        </w:rPr>
        <w:t>, n</w:t>
      </w:r>
      <w:r w:rsidR="00195572" w:rsidRPr="00DE7A42">
        <w:rPr>
          <w:vertAlign w:val="superscript"/>
          <w:lang w:val="fr-FR"/>
        </w:rPr>
        <w:t>o</w:t>
      </w:r>
      <w:r w:rsidR="00195572" w:rsidRPr="00DE7A42">
        <w:rPr>
          <w:lang w:val="fr-FR"/>
        </w:rPr>
        <w:t xml:space="preserve"> 27751/95, § 139, 14 janvier 2003)</w:t>
      </w:r>
      <w:r w:rsidR="00ED2E7E" w:rsidRPr="00DE7A42">
        <w:rPr>
          <w:lang w:val="fr-FR"/>
        </w:rPr>
        <w:t>.</w:t>
      </w:r>
    </w:p>
    <w:p w:rsidR="00A270F1" w:rsidRPr="00DE7A42" w:rsidRDefault="00A270F1" w:rsidP="00DE7A42">
      <w:pPr>
        <w:pStyle w:val="ECHRHeading4"/>
        <w:rPr>
          <w:lang w:val="fr-FR"/>
        </w:rPr>
      </w:pPr>
      <w:r w:rsidRPr="00DE7A42">
        <w:rPr>
          <w:lang w:val="fr-FR"/>
        </w:rPr>
        <w:t>c)  Application des principes en l</w:t>
      </w:r>
      <w:r w:rsidR="00DE7A42" w:rsidRPr="00DE7A42">
        <w:rPr>
          <w:lang w:val="fr-FR"/>
        </w:rPr>
        <w:t>’</w:t>
      </w:r>
      <w:r w:rsidRPr="00DE7A42">
        <w:rPr>
          <w:lang w:val="fr-FR"/>
        </w:rPr>
        <w:t>espèce</w:t>
      </w:r>
    </w:p>
    <w:p w:rsidR="000D1477" w:rsidRPr="00DE7A42" w:rsidRDefault="00CA1504"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62</w:t>
      </w:r>
      <w:r w:rsidRPr="00DE7A42">
        <w:rPr>
          <w:lang w:val="fr-FR"/>
        </w:rPr>
        <w:fldChar w:fldCharType="end"/>
      </w:r>
      <w:r w:rsidRPr="00DE7A42">
        <w:rPr>
          <w:lang w:val="fr-FR"/>
        </w:rPr>
        <w:t>.  </w:t>
      </w:r>
      <w:r w:rsidR="00ED2E7E" w:rsidRPr="00DE7A42">
        <w:rPr>
          <w:lang w:val="fr-FR"/>
        </w:rPr>
        <w:t xml:space="preserve">Un tel risque était flagrant dans la présente affaire. </w:t>
      </w:r>
      <w:r w:rsidR="00A270F1" w:rsidRPr="00DE7A42">
        <w:rPr>
          <w:lang w:val="fr-FR"/>
        </w:rPr>
        <w:t>En effet, d</w:t>
      </w:r>
      <w:r w:rsidR="00127013" w:rsidRPr="00DE7A42">
        <w:rPr>
          <w:lang w:val="fr-FR"/>
        </w:rPr>
        <w:t xml:space="preserve">epuis que le requérant a </w:t>
      </w:r>
      <w:r w:rsidR="008F5ACB" w:rsidRPr="00DE7A42">
        <w:rPr>
          <w:lang w:val="fr-FR"/>
        </w:rPr>
        <w:t>dû quitter</w:t>
      </w:r>
      <w:r w:rsidR="00127013" w:rsidRPr="00DE7A42">
        <w:rPr>
          <w:lang w:val="fr-FR"/>
        </w:rPr>
        <w:t xml:space="preserve"> le domicile conjugal le 21 janvier 2010, il n</w:t>
      </w:r>
      <w:r w:rsidR="00DE7A42" w:rsidRPr="00DE7A42">
        <w:rPr>
          <w:lang w:val="fr-FR"/>
        </w:rPr>
        <w:t>’</w:t>
      </w:r>
      <w:r w:rsidR="00127013" w:rsidRPr="00DE7A42">
        <w:rPr>
          <w:lang w:val="fr-FR"/>
        </w:rPr>
        <w:t xml:space="preserve">a eu que très peu de fois la possibilité de voir </w:t>
      </w:r>
      <w:r w:rsidR="0097465F" w:rsidRPr="00DE7A42">
        <w:rPr>
          <w:lang w:val="fr-FR"/>
        </w:rPr>
        <w:t>ou de récupérer ses</w:t>
      </w:r>
      <w:r w:rsidR="00127013" w:rsidRPr="00DE7A42">
        <w:rPr>
          <w:lang w:val="fr-FR"/>
        </w:rPr>
        <w:t xml:space="preserve"> enfants</w:t>
      </w:r>
      <w:r w:rsidR="0097465F" w:rsidRPr="00DE7A42">
        <w:rPr>
          <w:lang w:val="fr-FR"/>
        </w:rPr>
        <w:t xml:space="preserve"> dans le cadre de son droit de visite</w:t>
      </w:r>
      <w:r w:rsidR="00127013" w:rsidRPr="00DE7A42">
        <w:rPr>
          <w:lang w:val="fr-FR"/>
        </w:rPr>
        <w:t xml:space="preserve">. </w:t>
      </w:r>
      <w:r w:rsidR="00312495" w:rsidRPr="00DE7A42">
        <w:rPr>
          <w:lang w:val="fr-FR"/>
        </w:rPr>
        <w:t>Il ressort clairement du dossier qu</w:t>
      </w:r>
      <w:r w:rsidR="00DE7A42" w:rsidRPr="00DE7A42">
        <w:rPr>
          <w:lang w:val="fr-FR"/>
        </w:rPr>
        <w:t>’</w:t>
      </w:r>
      <w:r w:rsidR="00312495" w:rsidRPr="00DE7A42">
        <w:rPr>
          <w:lang w:val="fr-FR"/>
        </w:rPr>
        <w:t xml:space="preserve">I.P. a pour le moins tenté de </w:t>
      </w:r>
      <w:r w:rsidR="008F5ACB" w:rsidRPr="00DE7A42">
        <w:rPr>
          <w:lang w:val="fr-FR"/>
        </w:rPr>
        <w:t xml:space="preserve">mettre fin aux </w:t>
      </w:r>
      <w:r w:rsidR="00312495" w:rsidRPr="00DE7A42">
        <w:rPr>
          <w:lang w:val="fr-FR"/>
        </w:rPr>
        <w:t>contacts du requérant avec ses enfants.</w:t>
      </w:r>
    </w:p>
    <w:p w:rsidR="00DE7A42" w:rsidRPr="00DE7A42" w:rsidRDefault="00E256D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63</w:t>
      </w:r>
      <w:r w:rsidRPr="00DE7A42">
        <w:rPr>
          <w:lang w:val="fr-FR"/>
        </w:rPr>
        <w:fldChar w:fldCharType="end"/>
      </w:r>
      <w:r w:rsidRPr="00DE7A42">
        <w:rPr>
          <w:lang w:val="fr-FR"/>
        </w:rPr>
        <w:t>.  </w:t>
      </w:r>
      <w:r w:rsidR="00E60B76" w:rsidRPr="00DE7A42">
        <w:rPr>
          <w:lang w:val="fr-FR"/>
        </w:rPr>
        <w:t>La Cour note que, s</w:t>
      </w:r>
      <w:r w:rsidR="00E62CE4" w:rsidRPr="00DE7A42">
        <w:rPr>
          <w:lang w:val="fr-FR"/>
        </w:rPr>
        <w:t>aisi d</w:t>
      </w:r>
      <w:r w:rsidR="00DE7A42" w:rsidRPr="00DE7A42">
        <w:rPr>
          <w:lang w:val="fr-FR"/>
        </w:rPr>
        <w:t>’</w:t>
      </w:r>
      <w:r w:rsidR="00E62CE4" w:rsidRPr="00DE7A42">
        <w:rPr>
          <w:lang w:val="fr-FR"/>
        </w:rPr>
        <w:t>une demand</w:t>
      </w:r>
      <w:r w:rsidR="00BD75BA" w:rsidRPr="00DE7A42">
        <w:rPr>
          <w:lang w:val="fr-FR"/>
        </w:rPr>
        <w:t>e de mesures provisoires le 25 </w:t>
      </w:r>
      <w:r w:rsidR="00E62CE4" w:rsidRPr="00DE7A42">
        <w:rPr>
          <w:lang w:val="fr-FR"/>
        </w:rPr>
        <w:t>janvier 2010, le tribunal de première instance d</w:t>
      </w:r>
      <w:r w:rsidR="00DE7A42" w:rsidRPr="00DE7A42">
        <w:rPr>
          <w:lang w:val="fr-FR"/>
        </w:rPr>
        <w:t>’</w:t>
      </w:r>
      <w:r w:rsidR="00E62CE4" w:rsidRPr="00DE7A42">
        <w:rPr>
          <w:lang w:val="fr-FR"/>
        </w:rPr>
        <w:t>Athènes n</w:t>
      </w:r>
      <w:r w:rsidR="00DE7A42" w:rsidRPr="00DE7A42">
        <w:rPr>
          <w:lang w:val="fr-FR"/>
        </w:rPr>
        <w:t>’</w:t>
      </w:r>
      <w:r w:rsidR="00E62CE4" w:rsidRPr="00DE7A42">
        <w:rPr>
          <w:lang w:val="fr-FR"/>
        </w:rPr>
        <w:t>a rendu</w:t>
      </w:r>
      <w:r w:rsidR="00BD75BA" w:rsidRPr="00DE7A42">
        <w:rPr>
          <w:lang w:val="fr-FR"/>
        </w:rPr>
        <w:t xml:space="preserve"> sa décision que le 9 juin 2010</w:t>
      </w:r>
      <w:r w:rsidR="00E62CE4" w:rsidRPr="00DE7A42">
        <w:rPr>
          <w:lang w:val="fr-FR"/>
        </w:rPr>
        <w:t xml:space="preserve"> fixant, entre autres, le droit de visite du requérant. </w:t>
      </w:r>
      <w:r w:rsidR="00AE5708" w:rsidRPr="00DE7A42">
        <w:rPr>
          <w:lang w:val="fr-FR"/>
        </w:rPr>
        <w:t>Souhaitant faire interdire les contacts du requérant avec ses enfants, I.P. a de nouveau saisi le tribunal d</w:t>
      </w:r>
      <w:r w:rsidR="00DE7A42" w:rsidRPr="00DE7A42">
        <w:rPr>
          <w:lang w:val="fr-FR"/>
        </w:rPr>
        <w:t>’</w:t>
      </w:r>
      <w:r w:rsidR="00AE5708" w:rsidRPr="00DE7A42">
        <w:rPr>
          <w:lang w:val="fr-FR"/>
        </w:rPr>
        <w:t xml:space="preserve">une telle demande. </w:t>
      </w:r>
      <w:r w:rsidRPr="00DE7A42">
        <w:rPr>
          <w:lang w:val="fr-FR"/>
        </w:rPr>
        <w:t>L</w:t>
      </w:r>
      <w:r w:rsidR="00AE5708" w:rsidRPr="00DE7A42">
        <w:rPr>
          <w:lang w:val="fr-FR"/>
        </w:rPr>
        <w:t xml:space="preserve">e tribunal a confié </w:t>
      </w:r>
      <w:r w:rsidRPr="00DE7A42">
        <w:rPr>
          <w:lang w:val="fr-FR"/>
        </w:rPr>
        <w:t xml:space="preserve">provisoirement </w:t>
      </w:r>
      <w:r w:rsidR="00AE5708" w:rsidRPr="00DE7A42">
        <w:rPr>
          <w:lang w:val="fr-FR"/>
        </w:rPr>
        <w:t xml:space="preserve">la garde des enfants </w:t>
      </w:r>
      <w:r w:rsidR="0097465F" w:rsidRPr="00DE7A42">
        <w:rPr>
          <w:lang w:val="fr-FR"/>
        </w:rPr>
        <w:t>à I.P., mais il a souligné que le vrai intérêt des enfants mineurs dictait la communication régulière de ceux-ci avec leur père, afin d</w:t>
      </w:r>
      <w:r w:rsidR="00DE7A42" w:rsidRPr="00DE7A42">
        <w:rPr>
          <w:lang w:val="fr-FR"/>
        </w:rPr>
        <w:t>’</w:t>
      </w:r>
      <w:r w:rsidR="0097465F" w:rsidRPr="00DE7A42">
        <w:rPr>
          <w:lang w:val="fr-FR"/>
        </w:rPr>
        <w:t>écarter le risque de relâchement de leurs liens et d</w:t>
      </w:r>
      <w:r w:rsidR="00DE7A42" w:rsidRPr="00DE7A42">
        <w:rPr>
          <w:lang w:val="fr-FR"/>
        </w:rPr>
        <w:t>’</w:t>
      </w:r>
      <w:r w:rsidR="0097465F" w:rsidRPr="00DE7A42">
        <w:rPr>
          <w:lang w:val="fr-FR"/>
        </w:rPr>
        <w:t xml:space="preserve">assurer leur équilibre psychosomatique et un développement normal. Il a </w:t>
      </w:r>
      <w:r w:rsidRPr="00DE7A42">
        <w:rPr>
          <w:lang w:val="fr-FR"/>
        </w:rPr>
        <w:t xml:space="preserve">alors </w:t>
      </w:r>
      <w:r w:rsidR="0097465F" w:rsidRPr="00DE7A42">
        <w:rPr>
          <w:lang w:val="fr-FR"/>
        </w:rPr>
        <w:t>fixé de nouvelles règles concernant le droit de visite du requérant</w:t>
      </w:r>
      <w:r w:rsidRPr="00DE7A42">
        <w:rPr>
          <w:lang w:val="fr-FR"/>
        </w:rPr>
        <w:t>,</w:t>
      </w:r>
      <w:r w:rsidR="0097465F" w:rsidRPr="00DE7A42">
        <w:rPr>
          <w:lang w:val="fr-FR"/>
        </w:rPr>
        <w:t xml:space="preserve"> l</w:t>
      </w:r>
      <w:r w:rsidR="00DE7A42" w:rsidRPr="00DE7A42">
        <w:rPr>
          <w:lang w:val="fr-FR"/>
        </w:rPr>
        <w:t>’</w:t>
      </w:r>
      <w:r w:rsidR="0097465F" w:rsidRPr="00DE7A42">
        <w:rPr>
          <w:lang w:val="fr-FR"/>
        </w:rPr>
        <w:t xml:space="preserve">autorisant </w:t>
      </w:r>
      <w:r w:rsidRPr="00DE7A42">
        <w:rPr>
          <w:lang w:val="fr-FR"/>
        </w:rPr>
        <w:t xml:space="preserve">notamment </w:t>
      </w:r>
      <w:r w:rsidR="0097465F" w:rsidRPr="00DE7A42">
        <w:rPr>
          <w:lang w:val="fr-FR"/>
        </w:rPr>
        <w:t>à prendre les enfants du domicile d</w:t>
      </w:r>
      <w:r w:rsidR="00DE7A42" w:rsidRPr="00DE7A42">
        <w:rPr>
          <w:lang w:val="fr-FR"/>
        </w:rPr>
        <w:t>’</w:t>
      </w:r>
      <w:r w:rsidR="0097465F" w:rsidRPr="00DE7A42">
        <w:rPr>
          <w:lang w:val="fr-FR"/>
        </w:rPr>
        <w:t>I.P. Enfin, il a déclaré qu</w:t>
      </w:r>
      <w:r w:rsidR="00DE7A42" w:rsidRPr="00DE7A42">
        <w:rPr>
          <w:lang w:val="fr-FR"/>
        </w:rPr>
        <w:t>’</w:t>
      </w:r>
      <w:r w:rsidR="0097465F" w:rsidRPr="00DE7A42">
        <w:rPr>
          <w:lang w:val="fr-FR"/>
        </w:rPr>
        <w:t>I.P. serait susceptible d</w:t>
      </w:r>
      <w:r w:rsidR="00DE7A42" w:rsidRPr="00DE7A42">
        <w:rPr>
          <w:lang w:val="fr-FR"/>
        </w:rPr>
        <w:t>’</w:t>
      </w:r>
      <w:r w:rsidR="0097465F" w:rsidRPr="00DE7A42">
        <w:rPr>
          <w:lang w:val="fr-FR"/>
        </w:rPr>
        <w:t>être détenue pour une durée d</w:t>
      </w:r>
      <w:r w:rsidR="00DE7A42" w:rsidRPr="00DE7A42">
        <w:rPr>
          <w:lang w:val="fr-FR"/>
        </w:rPr>
        <w:t>’</w:t>
      </w:r>
      <w:r w:rsidR="0097465F" w:rsidRPr="00DE7A42">
        <w:rPr>
          <w:lang w:val="fr-FR"/>
        </w:rPr>
        <w:t xml:space="preserve">un mois et </w:t>
      </w:r>
      <w:r w:rsidR="00BD75BA" w:rsidRPr="00DE7A42">
        <w:rPr>
          <w:lang w:val="fr-FR"/>
        </w:rPr>
        <w:t>de payer</w:t>
      </w:r>
      <w:r w:rsidR="0097465F" w:rsidRPr="00DE7A42">
        <w:rPr>
          <w:lang w:val="fr-FR"/>
        </w:rPr>
        <w:t xml:space="preserve"> une amende de 500 euros chaque fois qu</w:t>
      </w:r>
      <w:r w:rsidR="00DE7A42" w:rsidRPr="00DE7A42">
        <w:rPr>
          <w:lang w:val="fr-FR"/>
        </w:rPr>
        <w:t>’</w:t>
      </w:r>
      <w:r w:rsidR="0097465F" w:rsidRPr="00DE7A42">
        <w:rPr>
          <w:lang w:val="fr-FR"/>
        </w:rPr>
        <w:t>elle méconna</w:t>
      </w:r>
      <w:r w:rsidR="00C54E34" w:rsidRPr="00DE7A42">
        <w:rPr>
          <w:lang w:val="fr-FR"/>
        </w:rPr>
        <w:t>î</w:t>
      </w:r>
      <w:r w:rsidR="0097465F" w:rsidRPr="00DE7A42">
        <w:rPr>
          <w:lang w:val="fr-FR"/>
        </w:rPr>
        <w:t>trait les termes du jugement.</w:t>
      </w:r>
      <w:r w:rsidRPr="00DE7A42">
        <w:rPr>
          <w:lang w:val="fr-FR"/>
        </w:rPr>
        <w:t xml:space="preserve"> </w:t>
      </w:r>
      <w:r w:rsidR="00C54E34" w:rsidRPr="00DE7A42">
        <w:rPr>
          <w:lang w:val="fr-FR"/>
        </w:rPr>
        <w:t>Il ressort du dossier que l</w:t>
      </w:r>
      <w:r w:rsidRPr="00DE7A42">
        <w:rPr>
          <w:lang w:val="fr-FR"/>
        </w:rPr>
        <w:t>a procédure principale concernant l</w:t>
      </w:r>
      <w:r w:rsidR="00DE7A42" w:rsidRPr="00DE7A42">
        <w:rPr>
          <w:lang w:val="fr-FR"/>
        </w:rPr>
        <w:t>’</w:t>
      </w:r>
      <w:r w:rsidRPr="00DE7A42">
        <w:rPr>
          <w:lang w:val="fr-FR"/>
        </w:rPr>
        <w:t xml:space="preserve">attribution définitive de la garde </w:t>
      </w:r>
      <w:r w:rsidR="00C54E34" w:rsidRPr="00DE7A42">
        <w:rPr>
          <w:lang w:val="fr-FR"/>
        </w:rPr>
        <w:t xml:space="preserve">est </w:t>
      </w:r>
      <w:r w:rsidRPr="00DE7A42">
        <w:rPr>
          <w:lang w:val="fr-FR"/>
        </w:rPr>
        <w:t>encore pendante.</w:t>
      </w:r>
      <w:r w:rsidR="00F46139" w:rsidRPr="00DE7A42">
        <w:rPr>
          <w:lang w:val="fr-FR"/>
        </w:rPr>
        <w:t xml:space="preserve"> Un tel retard est</w:t>
      </w:r>
      <w:r w:rsidR="005427CB" w:rsidRPr="00DE7A42">
        <w:rPr>
          <w:lang w:val="fr-FR"/>
        </w:rPr>
        <w:t>, en soi,</w:t>
      </w:r>
      <w:r w:rsidR="00F46139" w:rsidRPr="00DE7A42">
        <w:rPr>
          <w:lang w:val="fr-FR"/>
        </w:rPr>
        <w:t xml:space="preserve"> un indice du manque de l</w:t>
      </w:r>
      <w:r w:rsidR="00DE7A42" w:rsidRPr="00DE7A42">
        <w:rPr>
          <w:lang w:val="fr-FR"/>
        </w:rPr>
        <w:t>’</w:t>
      </w:r>
      <w:r w:rsidR="00F46139" w:rsidRPr="00DE7A42">
        <w:rPr>
          <w:lang w:val="fr-FR"/>
        </w:rPr>
        <w:t>État à ses obligations positives de prendre des mesures adéquates</w:t>
      </w:r>
      <w:r w:rsidR="003B6BE0" w:rsidRPr="00DE7A42">
        <w:rPr>
          <w:lang w:val="fr-FR"/>
        </w:rPr>
        <w:t>, tenant compte des circonstances de l</w:t>
      </w:r>
      <w:r w:rsidR="00DE7A42" w:rsidRPr="00DE7A42">
        <w:rPr>
          <w:lang w:val="fr-FR"/>
        </w:rPr>
        <w:t>’</w:t>
      </w:r>
      <w:r w:rsidR="003B6BE0" w:rsidRPr="00DE7A42">
        <w:rPr>
          <w:lang w:val="fr-FR"/>
        </w:rPr>
        <w:t>espèce</w:t>
      </w:r>
      <w:r w:rsidR="005427CB" w:rsidRPr="00DE7A42">
        <w:rPr>
          <w:lang w:val="fr-FR"/>
        </w:rPr>
        <w:t>,</w:t>
      </w:r>
      <w:r w:rsidR="003B6BE0" w:rsidRPr="00DE7A42">
        <w:rPr>
          <w:lang w:val="fr-FR"/>
        </w:rPr>
        <w:t xml:space="preserve"> en vue de faciliter la réunion d</w:t>
      </w:r>
      <w:r w:rsidR="00DE7A42" w:rsidRPr="00DE7A42">
        <w:rPr>
          <w:lang w:val="fr-FR"/>
        </w:rPr>
        <w:t>’</w:t>
      </w:r>
      <w:r w:rsidR="003B6BE0" w:rsidRPr="00DE7A42">
        <w:rPr>
          <w:lang w:val="fr-FR"/>
        </w:rPr>
        <w:t>u</w:t>
      </w:r>
      <w:r w:rsidR="005427CB" w:rsidRPr="00DE7A42">
        <w:rPr>
          <w:lang w:val="fr-FR"/>
        </w:rPr>
        <w:t>n</w:t>
      </w:r>
      <w:r w:rsidR="003B6BE0" w:rsidRPr="00DE7A42">
        <w:rPr>
          <w:lang w:val="fr-FR"/>
        </w:rPr>
        <w:t xml:space="preserve"> </w:t>
      </w:r>
      <w:r w:rsidR="00B245B6" w:rsidRPr="00DE7A42">
        <w:rPr>
          <w:lang w:val="fr-FR"/>
        </w:rPr>
        <w:t>parent avec ses enfants</w:t>
      </w:r>
      <w:r w:rsidR="005427CB" w:rsidRPr="00DE7A42">
        <w:rPr>
          <w:lang w:val="fr-FR"/>
        </w:rPr>
        <w:t>, notamment lorsqu</w:t>
      </w:r>
      <w:r w:rsidR="00DE7A42" w:rsidRPr="00DE7A42">
        <w:rPr>
          <w:lang w:val="fr-FR"/>
        </w:rPr>
        <w:t>’</w:t>
      </w:r>
      <w:r w:rsidR="005427CB" w:rsidRPr="00DE7A42">
        <w:rPr>
          <w:lang w:val="fr-FR"/>
        </w:rPr>
        <w:t>il s</w:t>
      </w:r>
      <w:r w:rsidR="00DE7A42" w:rsidRPr="00DE7A42">
        <w:rPr>
          <w:lang w:val="fr-FR"/>
        </w:rPr>
        <w:t>’</w:t>
      </w:r>
      <w:r w:rsidR="005427CB" w:rsidRPr="00DE7A42">
        <w:rPr>
          <w:lang w:val="fr-FR"/>
        </w:rPr>
        <w:t>agit d</w:t>
      </w:r>
      <w:r w:rsidR="00DE7A42" w:rsidRPr="00DE7A42">
        <w:rPr>
          <w:lang w:val="fr-FR"/>
        </w:rPr>
        <w:t>’</w:t>
      </w:r>
      <w:r w:rsidR="005427CB" w:rsidRPr="00DE7A42">
        <w:rPr>
          <w:lang w:val="fr-FR"/>
        </w:rPr>
        <w:t>enfants de bas âge ou il existe un risque aggravé d</w:t>
      </w:r>
      <w:r w:rsidR="00DE7A42" w:rsidRPr="00DE7A42">
        <w:rPr>
          <w:lang w:val="fr-FR"/>
        </w:rPr>
        <w:t>’</w:t>
      </w:r>
      <w:r w:rsidR="005427CB" w:rsidRPr="00DE7A42">
        <w:rPr>
          <w:lang w:val="fr-FR"/>
        </w:rPr>
        <w:t>altération de la relation familiale</w:t>
      </w:r>
      <w:r w:rsidR="00B245B6" w:rsidRPr="00DE7A42">
        <w:rPr>
          <w:lang w:val="fr-FR"/>
        </w:rPr>
        <w:t xml:space="preserve"> (voir paragraphe</w:t>
      </w:r>
      <w:r w:rsidR="005427CB" w:rsidRPr="00DE7A42">
        <w:rPr>
          <w:lang w:val="fr-FR"/>
        </w:rPr>
        <w:t>s</w:t>
      </w:r>
      <w:r w:rsidR="003B6BE0" w:rsidRPr="00DE7A42">
        <w:rPr>
          <w:lang w:val="fr-FR"/>
        </w:rPr>
        <w:t xml:space="preserve"> 59 </w:t>
      </w:r>
      <w:r w:rsidR="005427CB" w:rsidRPr="00DE7A42">
        <w:rPr>
          <w:lang w:val="fr-FR"/>
        </w:rPr>
        <w:t xml:space="preserve">et 61 </w:t>
      </w:r>
      <w:r w:rsidR="00B245B6" w:rsidRPr="00DE7A42">
        <w:rPr>
          <w:lang w:val="fr-FR"/>
        </w:rPr>
        <w:t>ci-dessus</w:t>
      </w:r>
      <w:r w:rsidR="003B6BE0" w:rsidRPr="00DE7A42">
        <w:rPr>
          <w:lang w:val="fr-FR"/>
        </w:rPr>
        <w:t>).</w:t>
      </w:r>
    </w:p>
    <w:p w:rsidR="00DE7A42" w:rsidRPr="00DE7A42" w:rsidRDefault="0099198B"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64</w:t>
      </w:r>
      <w:r w:rsidRPr="00DE7A42">
        <w:rPr>
          <w:lang w:val="fr-FR"/>
        </w:rPr>
        <w:fldChar w:fldCharType="end"/>
      </w:r>
      <w:r w:rsidRPr="00DE7A42">
        <w:rPr>
          <w:lang w:val="fr-FR"/>
        </w:rPr>
        <w:t>.  </w:t>
      </w:r>
      <w:r w:rsidR="00B03282" w:rsidRPr="00DE7A42">
        <w:rPr>
          <w:lang w:val="fr-FR"/>
        </w:rPr>
        <w:t>Les termes de ce jugement n</w:t>
      </w:r>
      <w:r w:rsidR="00DE7A42" w:rsidRPr="00DE7A42">
        <w:rPr>
          <w:lang w:val="fr-FR"/>
        </w:rPr>
        <w:t>’</w:t>
      </w:r>
      <w:r w:rsidR="008F5ACB" w:rsidRPr="00DE7A42">
        <w:rPr>
          <w:lang w:val="fr-FR"/>
        </w:rPr>
        <w:t>o</w:t>
      </w:r>
      <w:r w:rsidR="00B03282" w:rsidRPr="00DE7A42">
        <w:rPr>
          <w:lang w:val="fr-FR"/>
        </w:rPr>
        <w:t>nt</w:t>
      </w:r>
      <w:r w:rsidR="008F5ACB" w:rsidRPr="00DE7A42">
        <w:rPr>
          <w:lang w:val="fr-FR"/>
        </w:rPr>
        <w:t xml:space="preserve"> toutefois</w:t>
      </w:r>
      <w:r w:rsidR="00B03282" w:rsidRPr="00DE7A42">
        <w:rPr>
          <w:lang w:val="fr-FR"/>
        </w:rPr>
        <w:t xml:space="preserve"> pas été respectés par I.P</w:t>
      </w:r>
      <w:r w:rsidR="008F5ACB" w:rsidRPr="00DE7A42">
        <w:rPr>
          <w:lang w:val="fr-FR"/>
        </w:rPr>
        <w:t>.</w:t>
      </w:r>
      <w:r w:rsidR="009D5E02" w:rsidRPr="00DE7A42">
        <w:rPr>
          <w:lang w:val="fr-FR"/>
        </w:rPr>
        <w:t xml:space="preserve"> </w:t>
      </w:r>
      <w:r w:rsidR="008F5ACB" w:rsidRPr="00DE7A42">
        <w:rPr>
          <w:lang w:val="fr-FR"/>
        </w:rPr>
        <w:t>et</w:t>
      </w:r>
      <w:r w:rsidR="00B03282" w:rsidRPr="00DE7A42">
        <w:rPr>
          <w:lang w:val="fr-FR"/>
        </w:rPr>
        <w:t xml:space="preserve"> le requérant </w:t>
      </w:r>
      <w:r w:rsidR="00E256D8" w:rsidRPr="00DE7A42">
        <w:rPr>
          <w:lang w:val="fr-FR"/>
        </w:rPr>
        <w:t>a cherché l</w:t>
      </w:r>
      <w:r w:rsidR="00DE7A42" w:rsidRPr="00DE7A42">
        <w:rPr>
          <w:lang w:val="fr-FR"/>
        </w:rPr>
        <w:t>’</w:t>
      </w:r>
      <w:r w:rsidR="00E256D8" w:rsidRPr="00DE7A42">
        <w:rPr>
          <w:lang w:val="fr-FR"/>
        </w:rPr>
        <w:t>assistance des autorités judiciaires afin de le faire respecter comme la législation interne lui en donnait la possibilité.</w:t>
      </w:r>
    </w:p>
    <w:p w:rsidR="00DE7A42" w:rsidRPr="00DE7A42" w:rsidRDefault="004B45D8"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65</w:t>
      </w:r>
      <w:r w:rsidRPr="00DE7A42">
        <w:rPr>
          <w:lang w:val="fr-FR"/>
        </w:rPr>
        <w:fldChar w:fldCharType="end"/>
      </w:r>
      <w:r w:rsidR="00CF322C" w:rsidRPr="00DE7A42">
        <w:rPr>
          <w:lang w:val="fr-FR"/>
        </w:rPr>
        <w:t>.  D</w:t>
      </w:r>
      <w:r w:rsidR="00DE7A42" w:rsidRPr="00DE7A42">
        <w:rPr>
          <w:lang w:val="fr-FR"/>
        </w:rPr>
        <w:t>’</w:t>
      </w:r>
      <w:r w:rsidR="00CF322C" w:rsidRPr="00DE7A42">
        <w:rPr>
          <w:lang w:val="fr-FR"/>
        </w:rPr>
        <w:t>une</w:t>
      </w:r>
      <w:r w:rsidRPr="00DE7A42">
        <w:rPr>
          <w:lang w:val="fr-FR"/>
        </w:rPr>
        <w:t xml:space="preserve"> part, l</w:t>
      </w:r>
      <w:r w:rsidR="00A860CA" w:rsidRPr="00DE7A42">
        <w:rPr>
          <w:lang w:val="fr-FR"/>
        </w:rPr>
        <w:t>e 9 mars 2011, le requérant s</w:t>
      </w:r>
      <w:r w:rsidR="00DE7A42" w:rsidRPr="00DE7A42">
        <w:rPr>
          <w:lang w:val="fr-FR"/>
        </w:rPr>
        <w:t>’</w:t>
      </w:r>
      <w:r w:rsidR="00A860CA" w:rsidRPr="00DE7A42">
        <w:rPr>
          <w:lang w:val="fr-FR"/>
        </w:rPr>
        <w:t>est adressé au procureur d</w:t>
      </w:r>
      <w:r w:rsidR="00DE7A42" w:rsidRPr="00DE7A42">
        <w:rPr>
          <w:lang w:val="fr-FR"/>
        </w:rPr>
        <w:t>’</w:t>
      </w:r>
      <w:r w:rsidR="00A860CA" w:rsidRPr="00DE7A42">
        <w:rPr>
          <w:lang w:val="fr-FR"/>
        </w:rPr>
        <w:t>Athènes chargé des mineurs. Il l</w:t>
      </w:r>
      <w:r w:rsidR="00DE7A42" w:rsidRPr="00DE7A42">
        <w:rPr>
          <w:lang w:val="fr-FR"/>
        </w:rPr>
        <w:t>’</w:t>
      </w:r>
      <w:r w:rsidR="00A860CA" w:rsidRPr="00DE7A42">
        <w:rPr>
          <w:lang w:val="fr-FR"/>
        </w:rPr>
        <w:t>invitait à prendre toute mesure nécessaire pour préserver l</w:t>
      </w:r>
      <w:r w:rsidR="00DE7A42" w:rsidRPr="00DE7A42">
        <w:rPr>
          <w:lang w:val="fr-FR"/>
        </w:rPr>
        <w:t>’</w:t>
      </w:r>
      <w:r w:rsidR="00A860CA" w:rsidRPr="00DE7A42">
        <w:rPr>
          <w:lang w:val="fr-FR"/>
        </w:rPr>
        <w:t>intérêt des enfants et sa relation avec ceux-ci.</w:t>
      </w:r>
      <w:r w:rsidR="0099198B" w:rsidRPr="00DE7A42">
        <w:rPr>
          <w:lang w:val="fr-FR"/>
        </w:rPr>
        <w:t xml:space="preserve"> </w:t>
      </w:r>
      <w:r w:rsidR="00D73886" w:rsidRPr="00DE7A42">
        <w:rPr>
          <w:lang w:val="fr-FR"/>
        </w:rPr>
        <w:t>Le procureur a ordonné une enquête sociale auprès du service de l</w:t>
      </w:r>
      <w:r w:rsidR="00DE7A42" w:rsidRPr="00DE7A42">
        <w:rPr>
          <w:lang w:val="fr-FR"/>
        </w:rPr>
        <w:t>’</w:t>
      </w:r>
      <w:r w:rsidR="00D73886" w:rsidRPr="00DE7A42">
        <w:rPr>
          <w:lang w:val="fr-FR"/>
        </w:rPr>
        <w:t xml:space="preserve">assistante sociale de Nea Philadelphia. </w:t>
      </w:r>
      <w:r w:rsidR="0055035B" w:rsidRPr="00DE7A42">
        <w:rPr>
          <w:lang w:val="fr-FR"/>
        </w:rPr>
        <w:t xml:space="preserve">Celle-ci </w:t>
      </w:r>
      <w:r w:rsidR="00D73886" w:rsidRPr="00DE7A42">
        <w:rPr>
          <w:lang w:val="fr-FR"/>
        </w:rPr>
        <w:t>s</w:t>
      </w:r>
      <w:r w:rsidR="00DE7A42" w:rsidRPr="00DE7A42">
        <w:rPr>
          <w:lang w:val="fr-FR"/>
        </w:rPr>
        <w:t>’</w:t>
      </w:r>
      <w:r w:rsidR="00D73886" w:rsidRPr="00DE7A42">
        <w:rPr>
          <w:lang w:val="fr-FR"/>
        </w:rPr>
        <w:t>est rendue au domicile d</w:t>
      </w:r>
      <w:r w:rsidR="00DE7A42" w:rsidRPr="00DE7A42">
        <w:rPr>
          <w:lang w:val="fr-FR"/>
        </w:rPr>
        <w:t>’</w:t>
      </w:r>
      <w:r w:rsidR="00D73886" w:rsidRPr="00DE7A42">
        <w:rPr>
          <w:lang w:val="fr-FR"/>
        </w:rPr>
        <w:t>I.P. à quatre reprises et a rédigé trois rapports dans une période de cinq mois qu</w:t>
      </w:r>
      <w:r w:rsidR="00DE7A42" w:rsidRPr="00DE7A42">
        <w:rPr>
          <w:lang w:val="fr-FR"/>
        </w:rPr>
        <w:t>’</w:t>
      </w:r>
      <w:r w:rsidR="00D73886" w:rsidRPr="00DE7A42">
        <w:rPr>
          <w:lang w:val="fr-FR"/>
        </w:rPr>
        <w:t>elle a envoyés au procureur. Le 7 septembre 2011, le requérant a invité le procureur à lui fournir copie des rapports et à ordonner toute mesure propre à préserver les contacts avec ses enfants. Le procureur a cependant refusé de lui transmettre copie des rapports. Le requérant précise que jusqu</w:t>
      </w:r>
      <w:r w:rsidR="00DE7A42" w:rsidRPr="00DE7A42">
        <w:rPr>
          <w:lang w:val="fr-FR"/>
        </w:rPr>
        <w:t>’</w:t>
      </w:r>
      <w:r w:rsidR="00D73886" w:rsidRPr="00DE7A42">
        <w:rPr>
          <w:lang w:val="fr-FR"/>
        </w:rPr>
        <w:t>à la date de la saisine de la Cour, le procureur n</w:t>
      </w:r>
      <w:r w:rsidR="00DE7A42" w:rsidRPr="00DE7A42">
        <w:rPr>
          <w:lang w:val="fr-FR"/>
        </w:rPr>
        <w:t>’</w:t>
      </w:r>
      <w:r w:rsidR="00D73886" w:rsidRPr="00DE7A42">
        <w:rPr>
          <w:lang w:val="fr-FR"/>
        </w:rPr>
        <w:t>avait entrepris aucune autre démarche.</w:t>
      </w:r>
    </w:p>
    <w:p w:rsidR="00CF322C" w:rsidRPr="00DE7A42" w:rsidRDefault="00CF322C"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66</w:t>
      </w:r>
      <w:r w:rsidRPr="00DE7A42">
        <w:rPr>
          <w:lang w:val="fr-FR"/>
        </w:rPr>
        <w:fldChar w:fldCharType="end"/>
      </w:r>
      <w:r w:rsidRPr="00DE7A42">
        <w:rPr>
          <w:lang w:val="fr-FR"/>
        </w:rPr>
        <w:t>.  </w:t>
      </w:r>
      <w:r w:rsidR="00DB08C5" w:rsidRPr="00DE7A42">
        <w:rPr>
          <w:lang w:val="fr-FR"/>
        </w:rPr>
        <w:t>Il apparaît donc que le procureur n</w:t>
      </w:r>
      <w:r w:rsidR="00DE7A42" w:rsidRPr="00DE7A42">
        <w:rPr>
          <w:lang w:val="fr-FR"/>
        </w:rPr>
        <w:t>’</w:t>
      </w:r>
      <w:r w:rsidR="00DB08C5" w:rsidRPr="00DE7A42">
        <w:rPr>
          <w:lang w:val="fr-FR"/>
        </w:rPr>
        <w:t>a pas tenu compte du fait que le requérant n</w:t>
      </w:r>
      <w:r w:rsidR="00DE7A42" w:rsidRPr="00DE7A42">
        <w:rPr>
          <w:lang w:val="fr-FR"/>
        </w:rPr>
        <w:t>’</w:t>
      </w:r>
      <w:r w:rsidR="00DB08C5" w:rsidRPr="00DE7A42">
        <w:rPr>
          <w:lang w:val="fr-FR"/>
        </w:rPr>
        <w:t>avait pas de contact avec ses enfants depuis plusieurs mois et que l</w:t>
      </w:r>
      <w:r w:rsidR="00DE7A42" w:rsidRPr="00DE7A42">
        <w:rPr>
          <w:lang w:val="fr-FR"/>
        </w:rPr>
        <w:t>’</w:t>
      </w:r>
      <w:r w:rsidR="00DB08C5" w:rsidRPr="00DE7A42">
        <w:rPr>
          <w:lang w:val="fr-FR"/>
        </w:rPr>
        <w:t>écoulement de cette période sans contact avait déjà joué et continuerait à jouer un rôle certain dans l</w:t>
      </w:r>
      <w:r w:rsidR="00DE7A42" w:rsidRPr="00DE7A42">
        <w:rPr>
          <w:lang w:val="fr-FR"/>
        </w:rPr>
        <w:t>’</w:t>
      </w:r>
      <w:r w:rsidR="00DB08C5" w:rsidRPr="00DE7A42">
        <w:rPr>
          <w:lang w:val="fr-FR"/>
        </w:rPr>
        <w:t>attitude de rejet que les enfants manifestaient vis-à-vis du requérant.</w:t>
      </w:r>
      <w:r w:rsidRPr="00DE7A42">
        <w:rPr>
          <w:lang w:val="fr-FR"/>
        </w:rPr>
        <w:t xml:space="preserve"> Aucune médiation ni autre forme de processus de rapprochement n</w:t>
      </w:r>
      <w:r w:rsidR="00DE7A42" w:rsidRPr="00DE7A42">
        <w:rPr>
          <w:lang w:val="fr-FR"/>
        </w:rPr>
        <w:t>’</w:t>
      </w:r>
      <w:r w:rsidRPr="00DE7A42">
        <w:rPr>
          <w:lang w:val="fr-FR"/>
        </w:rPr>
        <w:t>ont été mises en place pour aider le requérant et ses enfants à rétablir leur rapport familial, tels qu</w:t>
      </w:r>
      <w:r w:rsidR="00DE7A42" w:rsidRPr="00DE7A42">
        <w:rPr>
          <w:lang w:val="fr-FR"/>
        </w:rPr>
        <w:t>’</w:t>
      </w:r>
      <w:r w:rsidRPr="00DE7A42">
        <w:rPr>
          <w:lang w:val="fr-FR"/>
        </w:rPr>
        <w:t>une assistance sociale ciblée et/ou un accompagnement thérapeutique d</w:t>
      </w:r>
      <w:r w:rsidR="00DE7A42" w:rsidRPr="00DE7A42">
        <w:rPr>
          <w:lang w:val="fr-FR"/>
        </w:rPr>
        <w:t>’</w:t>
      </w:r>
      <w:r w:rsidRPr="00DE7A42">
        <w:rPr>
          <w:lang w:val="fr-FR"/>
        </w:rPr>
        <w:t>I.P.</w:t>
      </w:r>
    </w:p>
    <w:p w:rsidR="00CF322C" w:rsidRPr="00DE7A42" w:rsidRDefault="00CF322C"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67</w:t>
      </w:r>
      <w:r w:rsidRPr="00DE7A42">
        <w:rPr>
          <w:lang w:val="fr-FR"/>
        </w:rPr>
        <w:fldChar w:fldCharType="end"/>
      </w:r>
      <w:r w:rsidRPr="00DE7A42">
        <w:rPr>
          <w:lang w:val="fr-FR"/>
        </w:rPr>
        <w:t>.  D</w:t>
      </w:r>
      <w:r w:rsidR="00DE7A42" w:rsidRPr="00DE7A42">
        <w:rPr>
          <w:lang w:val="fr-FR"/>
        </w:rPr>
        <w:t>’</w:t>
      </w:r>
      <w:r w:rsidRPr="00DE7A42">
        <w:rPr>
          <w:lang w:val="fr-FR"/>
        </w:rPr>
        <w:t>autre part, en application de la décision n</w:t>
      </w:r>
      <w:r w:rsidR="004831D1" w:rsidRPr="00DE7A42">
        <w:rPr>
          <w:vertAlign w:val="superscript"/>
          <w:lang w:val="fr-FR"/>
        </w:rPr>
        <w:t>o</w:t>
      </w:r>
      <w:r w:rsidRPr="00DE7A42">
        <w:rPr>
          <w:lang w:val="fr-FR"/>
        </w:rPr>
        <w:t> 1376/2011, le requérant déposa, en vertu des articles 950 § 2 du code de procédure civile et 232A du code pénal, plusieurs actions et plaintes devant le tribunal de première instance d</w:t>
      </w:r>
      <w:r w:rsidR="00DE7A42" w:rsidRPr="00DE7A42">
        <w:rPr>
          <w:lang w:val="fr-FR"/>
        </w:rPr>
        <w:t>’</w:t>
      </w:r>
      <w:r w:rsidRPr="00DE7A42">
        <w:rPr>
          <w:lang w:val="fr-FR"/>
        </w:rPr>
        <w:t>Athènes : les 18 et 28 février 2011, les 4, 17, 18 et 28 mars 2011, le 12 avril 2011, le 9 mai 2011, le 30 juin 2011 et le 10 octobre 2011 (paragraphe 21 ci-dessus). Toutes les audiences furent fixées à diverses dates en 2013 et 2014 mais à ces dates les procédures furent annulées à la demande du requérant qui déclara qu</w:t>
      </w:r>
      <w:r w:rsidR="00DE7A42" w:rsidRPr="00DE7A42">
        <w:rPr>
          <w:lang w:val="fr-FR"/>
        </w:rPr>
        <w:t>’</w:t>
      </w:r>
      <w:r w:rsidRPr="00DE7A42">
        <w:rPr>
          <w:lang w:val="fr-FR"/>
        </w:rPr>
        <w:t>il ne souhaitait voir la mère de ses enfants sanctionnée par l</w:t>
      </w:r>
      <w:r w:rsidR="00DE7A42" w:rsidRPr="00DE7A42">
        <w:rPr>
          <w:lang w:val="fr-FR"/>
        </w:rPr>
        <w:t>’</w:t>
      </w:r>
      <w:r w:rsidRPr="00DE7A42">
        <w:rPr>
          <w:lang w:val="fr-FR"/>
        </w:rPr>
        <w:t>une des peines prévues par les articles 950 § 2 du code de procédure civile ou 232A du code pénal.</w:t>
      </w:r>
    </w:p>
    <w:p w:rsidR="00DE7A42" w:rsidRPr="00DE7A42" w:rsidRDefault="0071614D"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68</w:t>
      </w:r>
      <w:r w:rsidRPr="00DE7A42">
        <w:rPr>
          <w:lang w:val="fr-FR"/>
        </w:rPr>
        <w:fldChar w:fldCharType="end"/>
      </w:r>
      <w:r w:rsidRPr="00DE7A42">
        <w:rPr>
          <w:lang w:val="fr-FR"/>
        </w:rPr>
        <w:t>.  </w:t>
      </w:r>
      <w:r w:rsidR="00E25D3E" w:rsidRPr="00DE7A42">
        <w:rPr>
          <w:lang w:val="fr-FR"/>
        </w:rPr>
        <w:t>La Cour en convient que les mesures judiciaires</w:t>
      </w:r>
      <w:r w:rsidR="004E48B5" w:rsidRPr="00DE7A42">
        <w:rPr>
          <w:lang w:val="fr-FR"/>
        </w:rPr>
        <w:t xml:space="preserve"> </w:t>
      </w:r>
      <w:r w:rsidR="00CF322C" w:rsidRPr="00DE7A42">
        <w:rPr>
          <w:lang w:val="fr-FR"/>
        </w:rPr>
        <w:t>susmentionnées</w:t>
      </w:r>
      <w:r w:rsidR="00E25D3E" w:rsidRPr="00DE7A42">
        <w:rPr>
          <w:lang w:val="fr-FR"/>
        </w:rPr>
        <w:t xml:space="preserve">, à savoir </w:t>
      </w:r>
      <w:r w:rsidR="004C3013" w:rsidRPr="00DE7A42">
        <w:rPr>
          <w:lang w:val="fr-FR"/>
        </w:rPr>
        <w:t>l</w:t>
      </w:r>
      <w:r w:rsidR="00DE7A42" w:rsidRPr="00DE7A42">
        <w:rPr>
          <w:lang w:val="fr-FR"/>
        </w:rPr>
        <w:t>’</w:t>
      </w:r>
      <w:r w:rsidR="004C3013" w:rsidRPr="00DE7A42">
        <w:rPr>
          <w:lang w:val="fr-FR"/>
        </w:rPr>
        <w:t>action prévue</w:t>
      </w:r>
      <w:r w:rsidR="00E25D3E" w:rsidRPr="00DE7A42">
        <w:rPr>
          <w:lang w:val="fr-FR"/>
        </w:rPr>
        <w:t xml:space="preserve"> à l</w:t>
      </w:r>
      <w:r w:rsidR="00DE7A42" w:rsidRPr="00DE7A42">
        <w:rPr>
          <w:lang w:val="fr-FR"/>
        </w:rPr>
        <w:t>’</w:t>
      </w:r>
      <w:r w:rsidR="00E25D3E" w:rsidRPr="00DE7A42">
        <w:rPr>
          <w:lang w:val="fr-FR"/>
        </w:rPr>
        <w:t>article 950 § 2 du code de procédure civile, l</w:t>
      </w:r>
      <w:r w:rsidR="00DE7A42" w:rsidRPr="00DE7A42">
        <w:rPr>
          <w:lang w:val="fr-FR"/>
        </w:rPr>
        <w:t>’</w:t>
      </w:r>
      <w:r w:rsidR="00E25D3E" w:rsidRPr="00DE7A42">
        <w:rPr>
          <w:lang w:val="fr-FR"/>
        </w:rPr>
        <w:t>instauration d</w:t>
      </w:r>
      <w:r w:rsidR="00DE7A42" w:rsidRPr="00DE7A42">
        <w:rPr>
          <w:lang w:val="fr-FR"/>
        </w:rPr>
        <w:t>’</w:t>
      </w:r>
      <w:r w:rsidR="00E25D3E" w:rsidRPr="00DE7A42">
        <w:rPr>
          <w:lang w:val="fr-FR"/>
        </w:rPr>
        <w:t xml:space="preserve">une responsabilité pénale </w:t>
      </w:r>
      <w:r w:rsidR="009F5AC6" w:rsidRPr="00DE7A42">
        <w:rPr>
          <w:lang w:val="fr-FR"/>
        </w:rPr>
        <w:t>et la mesure prévue à l</w:t>
      </w:r>
      <w:r w:rsidR="00DE7A42" w:rsidRPr="00DE7A42">
        <w:rPr>
          <w:lang w:val="fr-FR"/>
        </w:rPr>
        <w:t>’</w:t>
      </w:r>
      <w:r w:rsidR="009F5AC6" w:rsidRPr="00DE7A42">
        <w:rPr>
          <w:lang w:val="fr-FR"/>
        </w:rPr>
        <w:t>article </w:t>
      </w:r>
      <w:r w:rsidR="00E25D3E" w:rsidRPr="00DE7A42">
        <w:rPr>
          <w:lang w:val="fr-FR"/>
        </w:rPr>
        <w:t xml:space="preserve">1532 du code civil, ne sont pas </w:t>
      </w:r>
      <w:r w:rsidR="00A270F1" w:rsidRPr="00DE7A42">
        <w:rPr>
          <w:lang w:val="fr-FR"/>
        </w:rPr>
        <w:t xml:space="preserve">nécessairement </w:t>
      </w:r>
      <w:r w:rsidR="00EE00EB" w:rsidRPr="00DE7A42">
        <w:rPr>
          <w:lang w:val="fr-FR"/>
        </w:rPr>
        <w:t xml:space="preserve">toujours </w:t>
      </w:r>
      <w:r w:rsidR="00E25D3E" w:rsidRPr="00DE7A42">
        <w:rPr>
          <w:lang w:val="fr-FR"/>
        </w:rPr>
        <w:t>adaptées à des situations</w:t>
      </w:r>
      <w:r w:rsidR="00805D12" w:rsidRPr="00DE7A42">
        <w:rPr>
          <w:lang w:val="fr-FR"/>
        </w:rPr>
        <w:t xml:space="preserve"> comme celle de l</w:t>
      </w:r>
      <w:r w:rsidR="00DE7A42" w:rsidRPr="00DE7A42">
        <w:rPr>
          <w:lang w:val="fr-FR"/>
        </w:rPr>
        <w:t>’</w:t>
      </w:r>
      <w:r w:rsidR="00805D12" w:rsidRPr="00DE7A42">
        <w:rPr>
          <w:lang w:val="fr-FR"/>
        </w:rPr>
        <w:t>espèce. Dans d</w:t>
      </w:r>
      <w:r w:rsidR="00E25D3E" w:rsidRPr="00DE7A42">
        <w:rPr>
          <w:lang w:val="fr-FR"/>
        </w:rPr>
        <w:t>es affaires concernant le droit de garde des enfants, l</w:t>
      </w:r>
      <w:r w:rsidR="00DE7A42" w:rsidRPr="00DE7A42">
        <w:rPr>
          <w:lang w:val="fr-FR"/>
        </w:rPr>
        <w:t>’</w:t>
      </w:r>
      <w:r w:rsidR="00E25D3E" w:rsidRPr="00DE7A42">
        <w:rPr>
          <w:lang w:val="fr-FR"/>
        </w:rPr>
        <w:t>adéquation d</w:t>
      </w:r>
      <w:r w:rsidR="00DE7A42" w:rsidRPr="00DE7A42">
        <w:rPr>
          <w:lang w:val="fr-FR"/>
        </w:rPr>
        <w:t>’</w:t>
      </w:r>
      <w:r w:rsidR="00E25D3E" w:rsidRPr="00DE7A42">
        <w:rPr>
          <w:lang w:val="fr-FR"/>
        </w:rPr>
        <w:t>une mesure se juge à la rapidité de sa mise en œuvre. Lorsque des difficultés apparaissent, dues au refus du parent avec lequel se trouve l</w:t>
      </w:r>
      <w:r w:rsidR="00DE7A42" w:rsidRPr="00DE7A42">
        <w:rPr>
          <w:lang w:val="fr-FR"/>
        </w:rPr>
        <w:t>’</w:t>
      </w:r>
      <w:r w:rsidR="00E25D3E" w:rsidRPr="00DE7A42">
        <w:rPr>
          <w:lang w:val="fr-FR"/>
        </w:rPr>
        <w:t>enfant de se soumettre à l</w:t>
      </w:r>
      <w:r w:rsidR="00DE7A42" w:rsidRPr="00DE7A42">
        <w:rPr>
          <w:lang w:val="fr-FR"/>
        </w:rPr>
        <w:t>’</w:t>
      </w:r>
      <w:r w:rsidR="00E25D3E" w:rsidRPr="00DE7A42">
        <w:rPr>
          <w:lang w:val="fr-FR"/>
        </w:rPr>
        <w:t>exécution de la décision ordonnant un droit de visite de l</w:t>
      </w:r>
      <w:r w:rsidR="00DE7A42" w:rsidRPr="00DE7A42">
        <w:rPr>
          <w:lang w:val="fr-FR"/>
        </w:rPr>
        <w:t>’</w:t>
      </w:r>
      <w:r w:rsidR="004E27FC" w:rsidRPr="00DE7A42">
        <w:rPr>
          <w:lang w:val="fr-FR"/>
        </w:rPr>
        <w:t>autre parent, des mesures coer</w:t>
      </w:r>
      <w:r w:rsidR="00EE00EB" w:rsidRPr="00DE7A42">
        <w:rPr>
          <w:lang w:val="fr-FR"/>
        </w:rPr>
        <w:t>citives à l</w:t>
      </w:r>
      <w:r w:rsidR="00DE7A42" w:rsidRPr="00DE7A42">
        <w:rPr>
          <w:lang w:val="fr-FR"/>
        </w:rPr>
        <w:t>’</w:t>
      </w:r>
      <w:r w:rsidR="00EE00EB" w:rsidRPr="00DE7A42">
        <w:rPr>
          <w:lang w:val="fr-FR"/>
        </w:rPr>
        <w:t>égard du premier sont rarement</w:t>
      </w:r>
      <w:r w:rsidR="004E27FC" w:rsidRPr="00DE7A42">
        <w:rPr>
          <w:lang w:val="fr-FR"/>
        </w:rPr>
        <w:t xml:space="preserve"> souhaitables </w:t>
      </w:r>
      <w:r w:rsidR="00EE00EB" w:rsidRPr="00DE7A42">
        <w:rPr>
          <w:lang w:val="fr-FR"/>
        </w:rPr>
        <w:t xml:space="preserve">ou efficaces </w:t>
      </w:r>
      <w:r w:rsidR="004E27FC" w:rsidRPr="00DE7A42">
        <w:rPr>
          <w:lang w:val="fr-FR"/>
        </w:rPr>
        <w:t xml:space="preserve">dans un </w:t>
      </w:r>
      <w:r w:rsidR="00737AB2" w:rsidRPr="00DE7A42">
        <w:rPr>
          <w:lang w:val="fr-FR"/>
        </w:rPr>
        <w:t>domaine si délicat (</w:t>
      </w:r>
      <w:r w:rsidR="00737AB2" w:rsidRPr="00DE7A42">
        <w:rPr>
          <w:i/>
          <w:lang w:val="fr-FR"/>
        </w:rPr>
        <w:t>Mitrova et Savik</w:t>
      </w:r>
      <w:r w:rsidR="00737AB2" w:rsidRPr="00DE7A42">
        <w:rPr>
          <w:lang w:val="fr-FR"/>
        </w:rPr>
        <w:t xml:space="preserve"> </w:t>
      </w:r>
      <w:r w:rsidR="00737AB2" w:rsidRPr="00DE7A42">
        <w:rPr>
          <w:i/>
          <w:lang w:val="fr-FR"/>
        </w:rPr>
        <w:t>c. l</w:t>
      </w:r>
      <w:r w:rsidR="00DE7A42" w:rsidRPr="00DE7A42">
        <w:rPr>
          <w:i/>
          <w:lang w:val="fr-FR"/>
        </w:rPr>
        <w:t>’</w:t>
      </w:r>
      <w:r w:rsidR="00737AB2" w:rsidRPr="00DE7A42">
        <w:rPr>
          <w:i/>
          <w:lang w:val="fr-FR"/>
        </w:rPr>
        <w:t>ex-République yougoslave de Macédoine</w:t>
      </w:r>
      <w:r w:rsidR="00737AB2" w:rsidRPr="00DE7A42">
        <w:rPr>
          <w:lang w:val="fr-FR"/>
        </w:rPr>
        <w:t>, n</w:t>
      </w:r>
      <w:r w:rsidR="00737AB2" w:rsidRPr="00DE7A42">
        <w:rPr>
          <w:vertAlign w:val="superscript"/>
          <w:lang w:val="fr-FR"/>
        </w:rPr>
        <w:t>o</w:t>
      </w:r>
      <w:r w:rsidR="00737AB2" w:rsidRPr="00DE7A42">
        <w:rPr>
          <w:lang w:val="fr-FR"/>
        </w:rPr>
        <w:t> 42534/09</w:t>
      </w:r>
      <w:r w:rsidR="00737AB2" w:rsidRPr="00DE7A42">
        <w:rPr>
          <w:snapToGrid w:val="0"/>
          <w:lang w:val="fr-FR"/>
        </w:rPr>
        <w:t xml:space="preserve">, § 77, </w:t>
      </w:r>
      <w:r w:rsidR="00737AB2" w:rsidRPr="00DE7A42">
        <w:rPr>
          <w:lang w:val="fr-FR"/>
        </w:rPr>
        <w:t>11</w:t>
      </w:r>
      <w:r w:rsidR="00737AB2" w:rsidRPr="00DE7A42">
        <w:rPr>
          <w:snapToGrid w:val="0"/>
          <w:lang w:val="fr-FR"/>
        </w:rPr>
        <w:t xml:space="preserve"> </w:t>
      </w:r>
      <w:r w:rsidR="00737AB2" w:rsidRPr="00DE7A42">
        <w:rPr>
          <w:lang w:val="fr-FR"/>
        </w:rPr>
        <w:t>février</w:t>
      </w:r>
      <w:r w:rsidR="00737AB2" w:rsidRPr="00DE7A42">
        <w:rPr>
          <w:snapToGrid w:val="0"/>
          <w:lang w:val="fr-FR"/>
        </w:rPr>
        <w:t xml:space="preserve"> 2016 et</w:t>
      </w:r>
      <w:r w:rsidR="00737AB2" w:rsidRPr="00DE7A42">
        <w:rPr>
          <w:i/>
          <w:szCs w:val="24"/>
          <w:lang w:val="fr-FR"/>
        </w:rPr>
        <w:t xml:space="preserve"> Reigado Ramos</w:t>
      </w:r>
      <w:r w:rsidR="00737AB2" w:rsidRPr="00DE7A42">
        <w:rPr>
          <w:szCs w:val="24"/>
          <w:lang w:val="fr-FR"/>
        </w:rPr>
        <w:t>, précité, § 53</w:t>
      </w:r>
      <w:r w:rsidR="00737AB2" w:rsidRPr="00DE7A42">
        <w:rPr>
          <w:snapToGrid w:val="0"/>
          <w:lang w:val="fr-FR"/>
        </w:rPr>
        <w:t>)</w:t>
      </w:r>
      <w:r w:rsidR="004E27FC" w:rsidRPr="00DE7A42">
        <w:rPr>
          <w:lang w:val="fr-FR"/>
        </w:rPr>
        <w:t xml:space="preserve">. </w:t>
      </w:r>
      <w:r w:rsidRPr="00DE7A42">
        <w:rPr>
          <w:lang w:val="fr-FR"/>
        </w:rPr>
        <w:t xml:space="preserve">Outre le fait que les procédures coercitives y afférentes sont lentes, ce qui </w:t>
      </w:r>
      <w:r w:rsidR="00805D12" w:rsidRPr="00DE7A42">
        <w:rPr>
          <w:lang w:val="fr-FR"/>
        </w:rPr>
        <w:t xml:space="preserve">risque de </w:t>
      </w:r>
      <w:r w:rsidRPr="00DE7A42">
        <w:rPr>
          <w:lang w:val="fr-FR"/>
        </w:rPr>
        <w:t>prive</w:t>
      </w:r>
      <w:r w:rsidR="00805D12" w:rsidRPr="00DE7A42">
        <w:rPr>
          <w:lang w:val="fr-FR"/>
        </w:rPr>
        <w:t>r</w:t>
      </w:r>
      <w:r w:rsidRPr="00DE7A42">
        <w:rPr>
          <w:lang w:val="fr-FR"/>
        </w:rPr>
        <w:t xml:space="preserve"> le parent lésé d</w:t>
      </w:r>
      <w:r w:rsidR="00DE7A42" w:rsidRPr="00DE7A42">
        <w:rPr>
          <w:lang w:val="fr-FR"/>
        </w:rPr>
        <w:t>’</w:t>
      </w:r>
      <w:r w:rsidRPr="00DE7A42">
        <w:rPr>
          <w:lang w:val="fr-FR"/>
        </w:rPr>
        <w:t>avoir des contacts avec son enfant</w:t>
      </w:r>
      <w:r w:rsidR="00805D12" w:rsidRPr="00DE7A42">
        <w:rPr>
          <w:lang w:val="fr-FR"/>
        </w:rPr>
        <w:t xml:space="preserve"> pendant une longue période</w:t>
      </w:r>
      <w:r w:rsidRPr="00DE7A42">
        <w:rPr>
          <w:lang w:val="fr-FR"/>
        </w:rPr>
        <w:t>, elles risquent d</w:t>
      </w:r>
      <w:r w:rsidR="00DE7A42" w:rsidRPr="00DE7A42">
        <w:rPr>
          <w:lang w:val="fr-FR"/>
        </w:rPr>
        <w:t>’</w:t>
      </w:r>
      <w:r w:rsidRPr="00DE7A42">
        <w:rPr>
          <w:lang w:val="fr-FR"/>
        </w:rPr>
        <w:t xml:space="preserve">avoir un effet délétère </w:t>
      </w:r>
      <w:r w:rsidR="00B46A72" w:rsidRPr="00DE7A42">
        <w:rPr>
          <w:lang w:val="fr-FR"/>
        </w:rPr>
        <w:t>sur le psychisme de l</w:t>
      </w:r>
      <w:r w:rsidR="00DE7A42" w:rsidRPr="00DE7A42">
        <w:rPr>
          <w:lang w:val="fr-FR"/>
        </w:rPr>
        <w:t>’</w:t>
      </w:r>
      <w:r w:rsidR="00B46A72" w:rsidRPr="00DE7A42">
        <w:rPr>
          <w:lang w:val="fr-FR"/>
        </w:rPr>
        <w:t xml:space="preserve">enfant mineur </w:t>
      </w:r>
      <w:r w:rsidRPr="00DE7A42">
        <w:rPr>
          <w:lang w:val="fr-FR"/>
        </w:rPr>
        <w:t xml:space="preserve">et miner ainsi encore plus le but recherché, </w:t>
      </w:r>
      <w:r w:rsidR="00B46A72" w:rsidRPr="00DE7A42">
        <w:rPr>
          <w:lang w:val="fr-FR"/>
        </w:rPr>
        <w:t>à savoir</w:t>
      </w:r>
      <w:r w:rsidRPr="00DE7A42">
        <w:rPr>
          <w:lang w:val="fr-FR"/>
        </w:rPr>
        <w:t xml:space="preserve"> la coopération des parents dans l</w:t>
      </w:r>
      <w:r w:rsidR="00DE7A42" w:rsidRPr="00DE7A42">
        <w:rPr>
          <w:lang w:val="fr-FR"/>
        </w:rPr>
        <w:t>’</w:t>
      </w:r>
      <w:r w:rsidRPr="00DE7A42">
        <w:rPr>
          <w:lang w:val="fr-FR"/>
        </w:rPr>
        <w:t>intérêt supérieur de l</w:t>
      </w:r>
      <w:r w:rsidR="00DE7A42" w:rsidRPr="00DE7A42">
        <w:rPr>
          <w:lang w:val="fr-FR"/>
        </w:rPr>
        <w:t>’</w:t>
      </w:r>
      <w:r w:rsidRPr="00DE7A42">
        <w:rPr>
          <w:lang w:val="fr-FR"/>
        </w:rPr>
        <w:t>enfant.</w:t>
      </w:r>
    </w:p>
    <w:p w:rsidR="001E3C7B" w:rsidRPr="00DE7A42" w:rsidRDefault="006958BD"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69</w:t>
      </w:r>
      <w:r w:rsidRPr="00DE7A42">
        <w:rPr>
          <w:lang w:val="fr-FR"/>
        </w:rPr>
        <w:fldChar w:fldCharType="end"/>
      </w:r>
      <w:r w:rsidR="007C4F06" w:rsidRPr="00DE7A42">
        <w:rPr>
          <w:lang w:val="fr-FR"/>
        </w:rPr>
        <w:t>.  </w:t>
      </w:r>
      <w:r w:rsidR="001E3C7B" w:rsidRPr="00DE7A42">
        <w:rPr>
          <w:lang w:val="fr-FR"/>
        </w:rPr>
        <w:t>De ce fait</w:t>
      </w:r>
      <w:r w:rsidR="007C4F06" w:rsidRPr="00DE7A42">
        <w:rPr>
          <w:lang w:val="fr-FR"/>
        </w:rPr>
        <w:t xml:space="preserve">, la Cour ne saurait tirer des conclusions défavorables contre le requérant </w:t>
      </w:r>
      <w:r w:rsidR="00C76046" w:rsidRPr="00DE7A42">
        <w:rPr>
          <w:lang w:val="fr-FR"/>
        </w:rPr>
        <w:t>de la circonstance</w:t>
      </w:r>
      <w:r w:rsidR="007C4F06" w:rsidRPr="00DE7A42">
        <w:rPr>
          <w:lang w:val="fr-FR"/>
        </w:rPr>
        <w:t xml:space="preserve"> que celui-ci a décidé de ne pas poursuivre ses différentes</w:t>
      </w:r>
      <w:r w:rsidR="00113990" w:rsidRPr="00DE7A42">
        <w:rPr>
          <w:lang w:val="fr-FR"/>
        </w:rPr>
        <w:t xml:space="preserve"> actions et</w:t>
      </w:r>
      <w:r w:rsidR="007C4F06" w:rsidRPr="00DE7A42">
        <w:rPr>
          <w:lang w:val="fr-FR"/>
        </w:rPr>
        <w:t xml:space="preserve"> plaintes contre I.P. </w:t>
      </w:r>
      <w:r w:rsidR="001E3C7B" w:rsidRPr="00DE7A42">
        <w:rPr>
          <w:lang w:val="fr-FR"/>
        </w:rPr>
        <w:t>L</w:t>
      </w:r>
      <w:r w:rsidR="00AC27D4" w:rsidRPr="00DE7A42">
        <w:rPr>
          <w:lang w:val="fr-FR"/>
        </w:rPr>
        <w:t>e requérant explique</w:t>
      </w:r>
      <w:r w:rsidR="001E3C7B" w:rsidRPr="00DE7A42">
        <w:rPr>
          <w:lang w:val="fr-FR"/>
        </w:rPr>
        <w:t xml:space="preserve"> </w:t>
      </w:r>
      <w:r w:rsidR="00AC27D4" w:rsidRPr="00DE7A42">
        <w:rPr>
          <w:lang w:val="fr-FR"/>
        </w:rPr>
        <w:t xml:space="preserve">à cet </w:t>
      </w:r>
      <w:r w:rsidR="00C54E34" w:rsidRPr="00DE7A42">
        <w:rPr>
          <w:lang w:val="fr-FR"/>
        </w:rPr>
        <w:t>égard, non sans discernement,</w:t>
      </w:r>
      <w:r w:rsidR="00AC27D4" w:rsidRPr="00DE7A42">
        <w:rPr>
          <w:lang w:val="fr-FR"/>
        </w:rPr>
        <w:t xml:space="preserve"> que </w:t>
      </w:r>
      <w:r w:rsidR="007C4F06" w:rsidRPr="00DE7A42">
        <w:rPr>
          <w:lang w:val="fr-FR"/>
        </w:rPr>
        <w:t xml:space="preserve">la poursuite de ces procédures emporterait le risque de pousser </w:t>
      </w:r>
      <w:r w:rsidR="00113990" w:rsidRPr="00DE7A42">
        <w:rPr>
          <w:lang w:val="fr-FR"/>
        </w:rPr>
        <w:t>la</w:t>
      </w:r>
      <w:r w:rsidR="00C76046" w:rsidRPr="00DE7A42">
        <w:rPr>
          <w:lang w:val="fr-FR"/>
        </w:rPr>
        <w:t xml:space="preserve"> mère</w:t>
      </w:r>
      <w:r w:rsidR="007C4F06" w:rsidRPr="00DE7A42">
        <w:rPr>
          <w:lang w:val="fr-FR"/>
        </w:rPr>
        <w:t xml:space="preserve"> à éloigner davantage les enfants d</w:t>
      </w:r>
      <w:r w:rsidR="00AC27D4" w:rsidRPr="00DE7A42">
        <w:rPr>
          <w:lang w:val="fr-FR"/>
        </w:rPr>
        <w:t xml:space="preserve">e sa personne, car elle </w:t>
      </w:r>
      <w:r w:rsidR="007C4F06" w:rsidRPr="00DE7A42">
        <w:rPr>
          <w:lang w:val="fr-FR"/>
        </w:rPr>
        <w:t>fournir</w:t>
      </w:r>
      <w:r w:rsidR="00AC27D4" w:rsidRPr="00DE7A42">
        <w:rPr>
          <w:lang w:val="fr-FR"/>
        </w:rPr>
        <w:t>ait</w:t>
      </w:r>
      <w:r w:rsidR="007C4F06" w:rsidRPr="00DE7A42">
        <w:rPr>
          <w:lang w:val="fr-FR"/>
        </w:rPr>
        <w:t xml:space="preserve"> à I.P. un prétexte supplémentaire pour</w:t>
      </w:r>
      <w:r w:rsidR="00AC27D4" w:rsidRPr="00DE7A42">
        <w:rPr>
          <w:lang w:val="fr-FR"/>
        </w:rPr>
        <w:t xml:space="preserve"> le</w:t>
      </w:r>
      <w:r w:rsidR="007C4F06" w:rsidRPr="00DE7A42">
        <w:rPr>
          <w:lang w:val="fr-FR"/>
        </w:rPr>
        <w:t xml:space="preserve"> dénigrer auprès des enfants. En outre, à supposer même que les plaintes eussent </w:t>
      </w:r>
      <w:r w:rsidR="00392D62" w:rsidRPr="00DE7A42">
        <w:rPr>
          <w:lang w:val="fr-FR"/>
        </w:rPr>
        <w:t>une issue favorable au requérant, elles auraient abouti à imposer à la mère une sanction financière, voire, au pire, l</w:t>
      </w:r>
      <w:r w:rsidR="00DE7A42" w:rsidRPr="00DE7A42">
        <w:rPr>
          <w:lang w:val="fr-FR"/>
        </w:rPr>
        <w:t>’</w:t>
      </w:r>
      <w:r w:rsidR="00392D62" w:rsidRPr="00DE7A42">
        <w:rPr>
          <w:lang w:val="fr-FR"/>
        </w:rPr>
        <w:t xml:space="preserve">emprisonnement. </w:t>
      </w:r>
      <w:r w:rsidR="001E3C7B" w:rsidRPr="00DE7A42">
        <w:rPr>
          <w:lang w:val="fr-FR"/>
        </w:rPr>
        <w:t xml:space="preserve">La Cour </w:t>
      </w:r>
      <w:r w:rsidR="00A270F1" w:rsidRPr="00DE7A42">
        <w:rPr>
          <w:lang w:val="fr-FR"/>
        </w:rPr>
        <w:t xml:space="preserve">considère </w:t>
      </w:r>
      <w:r w:rsidR="001E3C7B" w:rsidRPr="00DE7A42">
        <w:rPr>
          <w:lang w:val="fr-FR"/>
        </w:rPr>
        <w:t>que l</w:t>
      </w:r>
      <w:r w:rsidR="00DE7A42" w:rsidRPr="00DE7A42">
        <w:rPr>
          <w:lang w:val="fr-FR"/>
        </w:rPr>
        <w:t>’</w:t>
      </w:r>
      <w:r w:rsidR="001E3C7B" w:rsidRPr="00DE7A42">
        <w:rPr>
          <w:lang w:val="fr-FR"/>
        </w:rPr>
        <w:t>usage de mesures impliquant</w:t>
      </w:r>
      <w:r w:rsidR="00DD301A" w:rsidRPr="00DE7A42">
        <w:rPr>
          <w:lang w:val="fr-FR"/>
        </w:rPr>
        <w:t>, dans des affaires concernant les droits de garde ou de visite,</w:t>
      </w:r>
      <w:r w:rsidR="001E3C7B" w:rsidRPr="00DE7A42">
        <w:rPr>
          <w:lang w:val="fr-FR"/>
        </w:rPr>
        <w:t xml:space="preserve"> une privation de liberté d</w:t>
      </w:r>
      <w:r w:rsidR="00C76046" w:rsidRPr="00DE7A42">
        <w:rPr>
          <w:lang w:val="fr-FR"/>
        </w:rPr>
        <w:t>e l</w:t>
      </w:r>
      <w:r w:rsidR="00DE7A42" w:rsidRPr="00DE7A42">
        <w:rPr>
          <w:lang w:val="fr-FR"/>
        </w:rPr>
        <w:t>’</w:t>
      </w:r>
      <w:r w:rsidR="001E3C7B" w:rsidRPr="00DE7A42">
        <w:rPr>
          <w:lang w:val="fr-FR"/>
        </w:rPr>
        <w:t xml:space="preserve">un des parents </w:t>
      </w:r>
      <w:r w:rsidR="00DD301A" w:rsidRPr="00DE7A42">
        <w:rPr>
          <w:lang w:val="fr-FR"/>
        </w:rPr>
        <w:t>doit être considérée comme une mesure exceptionnelle et ne saurait être mise en œuvre que lorsque les autres moyens ont été employés ou explorés</w:t>
      </w:r>
      <w:r w:rsidR="001E3C7B" w:rsidRPr="00DE7A42">
        <w:rPr>
          <w:lang w:val="fr-FR"/>
        </w:rPr>
        <w:t>.</w:t>
      </w:r>
    </w:p>
    <w:p w:rsidR="00070294" w:rsidRPr="00DE7A42" w:rsidRDefault="008F5ACB"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70</w:t>
      </w:r>
      <w:r w:rsidRPr="00DE7A42">
        <w:rPr>
          <w:lang w:val="fr-FR"/>
        </w:rPr>
        <w:fldChar w:fldCharType="end"/>
      </w:r>
      <w:r w:rsidRPr="00DE7A42">
        <w:rPr>
          <w:lang w:val="fr-FR"/>
        </w:rPr>
        <w:t>.  </w:t>
      </w:r>
      <w:r w:rsidR="00285B59" w:rsidRPr="00DE7A42">
        <w:rPr>
          <w:lang w:val="fr-FR"/>
        </w:rPr>
        <w:t>La Cour ne peut que constater que les autorités ont failli à leur devoir de prendre des mesures rapides et pratiques en vue d</w:t>
      </w:r>
      <w:r w:rsidR="00DE7A42" w:rsidRPr="00DE7A42">
        <w:rPr>
          <w:lang w:val="fr-FR"/>
        </w:rPr>
        <w:t>’</w:t>
      </w:r>
      <w:r w:rsidR="00285B59" w:rsidRPr="00DE7A42">
        <w:rPr>
          <w:lang w:val="fr-FR"/>
        </w:rPr>
        <w:t>inciter les intéressés à une meilleure coopération, tout en ayant à l</w:t>
      </w:r>
      <w:r w:rsidR="00DE7A42" w:rsidRPr="00DE7A42">
        <w:rPr>
          <w:lang w:val="fr-FR"/>
        </w:rPr>
        <w:t>’</w:t>
      </w:r>
      <w:r w:rsidR="00285B59" w:rsidRPr="00DE7A42">
        <w:rPr>
          <w:lang w:val="fr-FR"/>
        </w:rPr>
        <w:t>esprit l</w:t>
      </w:r>
      <w:r w:rsidR="00DE7A42" w:rsidRPr="00DE7A42">
        <w:rPr>
          <w:lang w:val="fr-FR"/>
        </w:rPr>
        <w:t>’</w:t>
      </w:r>
      <w:r w:rsidR="00285B59" w:rsidRPr="00DE7A42">
        <w:rPr>
          <w:lang w:val="fr-FR"/>
        </w:rPr>
        <w:t xml:space="preserve">intérêt supérieur des enfants qui consiste aussi à ne pas permettre une dilution progressive </w:t>
      </w:r>
      <w:r w:rsidR="00B46A72" w:rsidRPr="00DE7A42">
        <w:rPr>
          <w:lang w:val="fr-FR"/>
        </w:rPr>
        <w:t>voire</w:t>
      </w:r>
      <w:r w:rsidR="00285B59" w:rsidRPr="00DE7A42">
        <w:rPr>
          <w:lang w:val="fr-FR"/>
        </w:rPr>
        <w:t xml:space="preserve"> même la rupture des relations </w:t>
      </w:r>
      <w:r w:rsidR="00B46A72" w:rsidRPr="00DE7A42">
        <w:rPr>
          <w:lang w:val="fr-FR"/>
        </w:rPr>
        <w:t xml:space="preserve">avec </w:t>
      </w:r>
      <w:r w:rsidR="00285B59" w:rsidRPr="00DE7A42">
        <w:rPr>
          <w:lang w:val="fr-FR"/>
        </w:rPr>
        <w:t>leur père. Après le jugement n</w:t>
      </w:r>
      <w:r w:rsidR="004831D1" w:rsidRPr="00DE7A42">
        <w:rPr>
          <w:vertAlign w:val="superscript"/>
          <w:lang w:val="fr-FR"/>
        </w:rPr>
        <w:t>o</w:t>
      </w:r>
      <w:r w:rsidR="00285B59" w:rsidRPr="00DE7A42">
        <w:rPr>
          <w:lang w:val="fr-FR"/>
        </w:rPr>
        <w:t xml:space="preserve"> 1376/2011 </w:t>
      </w:r>
      <w:r w:rsidR="00B46A72" w:rsidRPr="00DE7A42">
        <w:rPr>
          <w:lang w:val="fr-FR"/>
        </w:rPr>
        <w:t>fixant</w:t>
      </w:r>
      <w:r w:rsidR="00285B59" w:rsidRPr="00DE7A42">
        <w:rPr>
          <w:lang w:val="fr-FR"/>
        </w:rPr>
        <w:t xml:space="preserve"> le droit de visite du père, les autorités se sont désengagées de tout contrôle de </w:t>
      </w:r>
      <w:r w:rsidR="00B46A72" w:rsidRPr="00DE7A42">
        <w:rPr>
          <w:lang w:val="fr-FR"/>
        </w:rPr>
        <w:t xml:space="preserve">son </w:t>
      </w:r>
      <w:r w:rsidR="00285B59" w:rsidRPr="00DE7A42">
        <w:rPr>
          <w:lang w:val="fr-FR"/>
        </w:rPr>
        <w:t xml:space="preserve">exécution. </w:t>
      </w:r>
      <w:r w:rsidR="00C21F35" w:rsidRPr="00DE7A42">
        <w:rPr>
          <w:lang w:val="fr-FR"/>
        </w:rPr>
        <w:t>À</w:t>
      </w:r>
      <w:r w:rsidR="00285B59" w:rsidRPr="00DE7A42">
        <w:rPr>
          <w:lang w:val="fr-FR"/>
        </w:rPr>
        <w:t xml:space="preserve"> part l</w:t>
      </w:r>
      <w:r w:rsidR="00DE7A42" w:rsidRPr="00DE7A42">
        <w:rPr>
          <w:lang w:val="fr-FR"/>
        </w:rPr>
        <w:t>’</w:t>
      </w:r>
      <w:r w:rsidR="00C21F35" w:rsidRPr="00DE7A42">
        <w:rPr>
          <w:lang w:val="fr-FR"/>
        </w:rPr>
        <w:t>enquête sociale ordonnée par le procureur chargé des mineurs auprès du service de l</w:t>
      </w:r>
      <w:r w:rsidR="00DE7A42" w:rsidRPr="00DE7A42">
        <w:rPr>
          <w:lang w:val="fr-FR"/>
        </w:rPr>
        <w:t>’</w:t>
      </w:r>
      <w:r w:rsidR="00C21F35" w:rsidRPr="00DE7A42">
        <w:rPr>
          <w:lang w:val="fr-FR"/>
        </w:rPr>
        <w:t>assistante sociale à l</w:t>
      </w:r>
      <w:r w:rsidR="00DE7A42" w:rsidRPr="00DE7A42">
        <w:rPr>
          <w:lang w:val="fr-FR"/>
        </w:rPr>
        <w:t>’</w:t>
      </w:r>
      <w:r w:rsidR="00C21F35" w:rsidRPr="00DE7A42">
        <w:rPr>
          <w:lang w:val="fr-FR"/>
        </w:rPr>
        <w:t>invitation du requérant le 9 mars 2011, et qui s</w:t>
      </w:r>
      <w:r w:rsidR="00DE7A42" w:rsidRPr="00DE7A42">
        <w:rPr>
          <w:lang w:val="fr-FR"/>
        </w:rPr>
        <w:t>’</w:t>
      </w:r>
      <w:r w:rsidR="00C21F35" w:rsidRPr="00DE7A42">
        <w:rPr>
          <w:lang w:val="fr-FR"/>
        </w:rPr>
        <w:t>est étalée sur cinq mois, aucune autre mesure n</w:t>
      </w:r>
      <w:r w:rsidR="00DE7A42" w:rsidRPr="00DE7A42">
        <w:rPr>
          <w:lang w:val="fr-FR"/>
        </w:rPr>
        <w:t>’</w:t>
      </w:r>
      <w:r w:rsidR="00C21F35" w:rsidRPr="00DE7A42">
        <w:rPr>
          <w:lang w:val="fr-FR"/>
        </w:rPr>
        <w:t xml:space="preserve">a été mise en œuvre par les autorités. </w:t>
      </w:r>
      <w:r w:rsidR="00045DEA" w:rsidRPr="00DE7A42">
        <w:rPr>
          <w:lang w:val="fr-FR"/>
        </w:rPr>
        <w:t>Cette enquête et les cinq rapports auxquels elle a donné lieu n</w:t>
      </w:r>
      <w:r w:rsidR="00DE7A42" w:rsidRPr="00DE7A42">
        <w:rPr>
          <w:lang w:val="fr-FR"/>
        </w:rPr>
        <w:t>’</w:t>
      </w:r>
      <w:r w:rsidR="00045DEA" w:rsidRPr="00DE7A42">
        <w:rPr>
          <w:lang w:val="fr-FR"/>
        </w:rPr>
        <w:t>ont d</w:t>
      </w:r>
      <w:r w:rsidR="00DE7A42" w:rsidRPr="00DE7A42">
        <w:rPr>
          <w:lang w:val="fr-FR"/>
        </w:rPr>
        <w:t>’</w:t>
      </w:r>
      <w:r w:rsidR="00045DEA" w:rsidRPr="00DE7A42">
        <w:rPr>
          <w:lang w:val="fr-FR"/>
        </w:rPr>
        <w:t>ailleurs abouti à la prise d</w:t>
      </w:r>
      <w:r w:rsidR="00DE7A42" w:rsidRPr="00DE7A42">
        <w:rPr>
          <w:lang w:val="fr-FR"/>
        </w:rPr>
        <w:t>’</w:t>
      </w:r>
      <w:r w:rsidR="00045DEA" w:rsidRPr="00DE7A42">
        <w:rPr>
          <w:lang w:val="fr-FR"/>
        </w:rPr>
        <w:t xml:space="preserve">aucune mesure concrète. </w:t>
      </w:r>
      <w:r w:rsidR="00B5225E" w:rsidRPr="00DE7A42">
        <w:rPr>
          <w:lang w:val="fr-FR"/>
        </w:rPr>
        <w:t>La lettre adressée le 7 </w:t>
      </w:r>
      <w:r w:rsidR="00C21F35" w:rsidRPr="00DE7A42">
        <w:rPr>
          <w:lang w:val="fr-FR"/>
        </w:rPr>
        <w:t>septembre 2011 par le requérant au procureur près la Cour de cassation pour se plaindre de l</w:t>
      </w:r>
      <w:r w:rsidR="00DE7A42" w:rsidRPr="00DE7A42">
        <w:rPr>
          <w:lang w:val="fr-FR"/>
        </w:rPr>
        <w:t>’</w:t>
      </w:r>
      <w:r w:rsidR="00C21F35" w:rsidRPr="00DE7A42">
        <w:rPr>
          <w:lang w:val="fr-FR"/>
        </w:rPr>
        <w:t>inactivité du procureur chargé des mineurs n</w:t>
      </w:r>
      <w:r w:rsidR="00DE7A42" w:rsidRPr="00DE7A42">
        <w:rPr>
          <w:lang w:val="fr-FR"/>
        </w:rPr>
        <w:t>’</w:t>
      </w:r>
      <w:r w:rsidR="00C21F35" w:rsidRPr="00DE7A42">
        <w:rPr>
          <w:lang w:val="fr-FR"/>
        </w:rPr>
        <w:t>a même pas fait l</w:t>
      </w:r>
      <w:r w:rsidR="00DE7A42" w:rsidRPr="00DE7A42">
        <w:rPr>
          <w:lang w:val="fr-FR"/>
        </w:rPr>
        <w:t>’</w:t>
      </w:r>
      <w:r w:rsidR="00C21F35" w:rsidRPr="00DE7A42">
        <w:rPr>
          <w:lang w:val="fr-FR"/>
        </w:rPr>
        <w:t>objet d</w:t>
      </w:r>
      <w:r w:rsidR="00DE7A42" w:rsidRPr="00DE7A42">
        <w:rPr>
          <w:lang w:val="fr-FR"/>
        </w:rPr>
        <w:t>’</w:t>
      </w:r>
      <w:r w:rsidR="00C21F35" w:rsidRPr="00DE7A42">
        <w:rPr>
          <w:lang w:val="fr-FR"/>
        </w:rPr>
        <w:t xml:space="preserve">une réponse. </w:t>
      </w:r>
      <w:r w:rsidR="00B73B02" w:rsidRPr="00DE7A42">
        <w:rPr>
          <w:lang w:val="fr-FR"/>
        </w:rPr>
        <w:t xml:space="preserve">Les autorités ont ainsi laissé se consolider une situation </w:t>
      </w:r>
      <w:r w:rsidR="00B73B02" w:rsidRPr="00DE7A42">
        <w:rPr>
          <w:i/>
          <w:lang w:val="fr-FR"/>
        </w:rPr>
        <w:t>de facto</w:t>
      </w:r>
      <w:r w:rsidR="00B73B02" w:rsidRPr="00DE7A42">
        <w:rPr>
          <w:lang w:val="fr-FR"/>
        </w:rPr>
        <w:t xml:space="preserve"> au mépris du jugement n</w:t>
      </w:r>
      <w:r w:rsidR="004831D1" w:rsidRPr="00DE7A42">
        <w:rPr>
          <w:vertAlign w:val="superscript"/>
          <w:lang w:val="fr-FR"/>
        </w:rPr>
        <w:t>o</w:t>
      </w:r>
      <w:r w:rsidR="00B73B02" w:rsidRPr="00DE7A42">
        <w:rPr>
          <w:lang w:val="fr-FR"/>
        </w:rPr>
        <w:t xml:space="preserve"> 1376/2011.</w:t>
      </w:r>
    </w:p>
    <w:p w:rsidR="00285B59" w:rsidRPr="00DE7A42" w:rsidRDefault="00070294"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71</w:t>
      </w:r>
      <w:r w:rsidRPr="00DE7A42">
        <w:rPr>
          <w:lang w:val="fr-FR"/>
        </w:rPr>
        <w:fldChar w:fldCharType="end"/>
      </w:r>
      <w:r w:rsidRPr="00DE7A42">
        <w:rPr>
          <w:lang w:val="fr-FR"/>
        </w:rPr>
        <w:t>.  </w:t>
      </w:r>
      <w:r w:rsidR="00C21F35" w:rsidRPr="00DE7A42">
        <w:rPr>
          <w:lang w:val="fr-FR"/>
        </w:rPr>
        <w:t>Or, pendant toute cette période le requérant était privé, par l</w:t>
      </w:r>
      <w:r w:rsidR="00DE7A42" w:rsidRPr="00DE7A42">
        <w:rPr>
          <w:lang w:val="fr-FR"/>
        </w:rPr>
        <w:t>’</w:t>
      </w:r>
      <w:r w:rsidR="00C21F35" w:rsidRPr="00DE7A42">
        <w:rPr>
          <w:lang w:val="fr-FR"/>
        </w:rPr>
        <w:t>effet du comportement d</w:t>
      </w:r>
      <w:r w:rsidR="00DE7A42" w:rsidRPr="00DE7A42">
        <w:rPr>
          <w:lang w:val="fr-FR"/>
        </w:rPr>
        <w:t>’</w:t>
      </w:r>
      <w:r w:rsidR="00C21F35" w:rsidRPr="00DE7A42">
        <w:rPr>
          <w:lang w:val="fr-FR"/>
        </w:rPr>
        <w:t>I.P.</w:t>
      </w:r>
      <w:r w:rsidR="00B73B02" w:rsidRPr="00DE7A42">
        <w:rPr>
          <w:lang w:val="fr-FR"/>
        </w:rPr>
        <w:t>,</w:t>
      </w:r>
      <w:r w:rsidR="00C21F35" w:rsidRPr="00DE7A42">
        <w:rPr>
          <w:lang w:val="fr-FR"/>
        </w:rPr>
        <w:t xml:space="preserve"> de tout contact avec ses enfants. Même l</w:t>
      </w:r>
      <w:r w:rsidR="00DE7A42" w:rsidRPr="00DE7A42">
        <w:rPr>
          <w:lang w:val="fr-FR"/>
        </w:rPr>
        <w:t>’</w:t>
      </w:r>
      <w:r w:rsidR="00C21F35" w:rsidRPr="00DE7A42">
        <w:rPr>
          <w:lang w:val="fr-FR"/>
        </w:rPr>
        <w:t xml:space="preserve">expérience </w:t>
      </w:r>
      <w:r w:rsidR="00C91108" w:rsidRPr="00DE7A42">
        <w:rPr>
          <w:lang w:val="fr-FR"/>
        </w:rPr>
        <w:t xml:space="preserve">à première vue </w:t>
      </w:r>
      <w:r w:rsidR="00C21F35" w:rsidRPr="00DE7A42">
        <w:rPr>
          <w:lang w:val="fr-FR"/>
        </w:rPr>
        <w:t xml:space="preserve">prometteuse </w:t>
      </w:r>
      <w:r w:rsidR="00B73B02" w:rsidRPr="00DE7A42">
        <w:rPr>
          <w:lang w:val="fr-FR"/>
        </w:rPr>
        <w:t xml:space="preserve">tentée </w:t>
      </w:r>
      <w:r w:rsidR="00C21F35" w:rsidRPr="00DE7A42">
        <w:rPr>
          <w:lang w:val="fr-FR"/>
        </w:rPr>
        <w:t>par la pédopsychiatre M.T.</w:t>
      </w:r>
      <w:r w:rsidR="00B73B02" w:rsidRPr="00DE7A42">
        <w:rPr>
          <w:lang w:val="fr-FR"/>
        </w:rPr>
        <w:t>, avec l</w:t>
      </w:r>
      <w:r w:rsidR="00DE7A42" w:rsidRPr="00DE7A42">
        <w:rPr>
          <w:lang w:val="fr-FR"/>
        </w:rPr>
        <w:t>’</w:t>
      </w:r>
      <w:r w:rsidR="00B73B02" w:rsidRPr="00DE7A42">
        <w:rPr>
          <w:lang w:val="fr-FR"/>
        </w:rPr>
        <w:t>accord initial d</w:t>
      </w:r>
      <w:r w:rsidR="00DE7A42" w:rsidRPr="00DE7A42">
        <w:rPr>
          <w:lang w:val="fr-FR"/>
        </w:rPr>
        <w:t>’</w:t>
      </w:r>
      <w:r w:rsidR="00B73B02" w:rsidRPr="00DE7A42">
        <w:rPr>
          <w:lang w:val="fr-FR"/>
        </w:rPr>
        <w:t>I.P.</w:t>
      </w:r>
      <w:r w:rsidR="00473BF2" w:rsidRPr="00DE7A42">
        <w:rPr>
          <w:lang w:val="fr-FR"/>
        </w:rPr>
        <w:t>,</w:t>
      </w:r>
      <w:r w:rsidR="00C21F35" w:rsidRPr="00DE7A42">
        <w:rPr>
          <w:lang w:val="fr-FR"/>
        </w:rPr>
        <w:t xml:space="preserve"> </w:t>
      </w:r>
      <w:r w:rsidRPr="00DE7A42">
        <w:rPr>
          <w:lang w:val="fr-FR"/>
        </w:rPr>
        <w:t>a été de courte durée, I.P. y ayant mis un terme en refusant de donner les enfants au requérant pour les vacances d</w:t>
      </w:r>
      <w:r w:rsidR="00DE7A42" w:rsidRPr="00DE7A42">
        <w:rPr>
          <w:lang w:val="fr-FR"/>
        </w:rPr>
        <w:t>’</w:t>
      </w:r>
      <w:r w:rsidRPr="00DE7A42">
        <w:rPr>
          <w:lang w:val="fr-FR"/>
        </w:rPr>
        <w:t>été 2011.</w:t>
      </w:r>
    </w:p>
    <w:p w:rsidR="00285B59" w:rsidRPr="00DE7A42" w:rsidRDefault="00B73B02"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72</w:t>
      </w:r>
      <w:r w:rsidRPr="00DE7A42">
        <w:rPr>
          <w:lang w:val="fr-FR"/>
        </w:rPr>
        <w:fldChar w:fldCharType="end"/>
      </w:r>
      <w:r w:rsidRPr="00DE7A42">
        <w:rPr>
          <w:lang w:val="fr-FR"/>
        </w:rPr>
        <w:t>.  </w:t>
      </w:r>
      <w:r w:rsidR="00473BF2" w:rsidRPr="00DE7A42">
        <w:rPr>
          <w:lang w:val="fr-FR"/>
        </w:rPr>
        <w:t xml:space="preserve">La Cour </w:t>
      </w:r>
      <w:r w:rsidR="00823FB8" w:rsidRPr="00DE7A42">
        <w:rPr>
          <w:lang w:val="fr-FR"/>
        </w:rPr>
        <w:t>constate</w:t>
      </w:r>
      <w:r w:rsidR="001D6FB2" w:rsidRPr="00DE7A42">
        <w:rPr>
          <w:lang w:val="fr-FR"/>
        </w:rPr>
        <w:t xml:space="preserve"> que les enfants du requérant n</w:t>
      </w:r>
      <w:r w:rsidR="00DE7A42" w:rsidRPr="00DE7A42">
        <w:rPr>
          <w:lang w:val="fr-FR"/>
        </w:rPr>
        <w:t>’</w:t>
      </w:r>
      <w:r w:rsidR="001D6FB2" w:rsidRPr="00DE7A42">
        <w:rPr>
          <w:lang w:val="fr-FR"/>
        </w:rPr>
        <w:t>ont pas pu bénéficier d</w:t>
      </w:r>
      <w:r w:rsidR="00DE7A42" w:rsidRPr="00DE7A42">
        <w:rPr>
          <w:lang w:val="fr-FR"/>
        </w:rPr>
        <w:t>’</w:t>
      </w:r>
      <w:r w:rsidR="001D6FB2" w:rsidRPr="00DE7A42">
        <w:rPr>
          <w:lang w:val="fr-FR"/>
        </w:rPr>
        <w:t xml:space="preserve">un soutien psychologique pour maintenir et tenter </w:t>
      </w:r>
      <w:r w:rsidR="00045DEA" w:rsidRPr="00DE7A42">
        <w:rPr>
          <w:lang w:val="fr-FR"/>
        </w:rPr>
        <w:t xml:space="preserve">ainsi </w:t>
      </w:r>
      <w:r w:rsidR="001D6FB2" w:rsidRPr="00DE7A42">
        <w:rPr>
          <w:lang w:val="fr-FR"/>
        </w:rPr>
        <w:t>d</w:t>
      </w:r>
      <w:r w:rsidR="00DE7A42" w:rsidRPr="00DE7A42">
        <w:rPr>
          <w:lang w:val="fr-FR"/>
        </w:rPr>
        <w:t>’</w:t>
      </w:r>
      <w:r w:rsidR="001D6FB2" w:rsidRPr="00DE7A42">
        <w:rPr>
          <w:lang w:val="fr-FR"/>
        </w:rPr>
        <w:t>améliore</w:t>
      </w:r>
      <w:r w:rsidR="00947276" w:rsidRPr="00DE7A42">
        <w:rPr>
          <w:lang w:val="fr-FR"/>
        </w:rPr>
        <w:t>r leurs rapports avec leur père. La Cour n</w:t>
      </w:r>
      <w:r w:rsidR="00DE7A42" w:rsidRPr="00DE7A42">
        <w:rPr>
          <w:lang w:val="fr-FR"/>
        </w:rPr>
        <w:t>’</w:t>
      </w:r>
      <w:r w:rsidR="00947276" w:rsidRPr="00DE7A42">
        <w:rPr>
          <w:lang w:val="fr-FR"/>
        </w:rPr>
        <w:t>ignore pas le fait que l</w:t>
      </w:r>
      <w:r w:rsidR="00DE7A42" w:rsidRPr="00DE7A42">
        <w:rPr>
          <w:lang w:val="fr-FR"/>
        </w:rPr>
        <w:t>’</w:t>
      </w:r>
      <w:r w:rsidR="00947276" w:rsidRPr="00DE7A42">
        <w:rPr>
          <w:lang w:val="fr-FR"/>
        </w:rPr>
        <w:t>impasse dans les contacts du r</w:t>
      </w:r>
      <w:r w:rsidR="007C4F06" w:rsidRPr="00DE7A42">
        <w:rPr>
          <w:lang w:val="fr-FR"/>
        </w:rPr>
        <w:t>equérant avec ses enfants est du</w:t>
      </w:r>
      <w:r w:rsidR="00B46A72" w:rsidRPr="00DE7A42">
        <w:rPr>
          <w:lang w:val="fr-FR"/>
        </w:rPr>
        <w:t>e</w:t>
      </w:r>
      <w:r w:rsidR="00947276" w:rsidRPr="00DE7A42">
        <w:rPr>
          <w:lang w:val="fr-FR"/>
        </w:rPr>
        <w:t xml:space="preserve"> surtout au manque de collaboration d</w:t>
      </w:r>
      <w:r w:rsidR="00DE7A42" w:rsidRPr="00DE7A42">
        <w:rPr>
          <w:lang w:val="fr-FR"/>
        </w:rPr>
        <w:t>’</w:t>
      </w:r>
      <w:r w:rsidR="00947276" w:rsidRPr="00DE7A42">
        <w:rPr>
          <w:lang w:val="fr-FR"/>
        </w:rPr>
        <w:t>I.P. Cependant, un tel manque de coopération ne saurait dispenser les autorités compétentes de mettre en œuvre tous les moyens susceptibles de permettre le maintien du lien familial (</w:t>
      </w:r>
      <w:r w:rsidR="00947276" w:rsidRPr="00DE7A42">
        <w:rPr>
          <w:i/>
          <w:lang w:val="fr-FR"/>
        </w:rPr>
        <w:t>Reigado Ramos c. Portugal</w:t>
      </w:r>
      <w:r w:rsidR="00947276" w:rsidRPr="00DE7A42">
        <w:rPr>
          <w:lang w:val="fr-FR"/>
        </w:rPr>
        <w:t>, précité, § 55).</w:t>
      </w:r>
    </w:p>
    <w:p w:rsidR="00FE02A1" w:rsidRPr="00DE7A42" w:rsidRDefault="00FE02A1"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73</w:t>
      </w:r>
      <w:r w:rsidRPr="00DE7A42">
        <w:rPr>
          <w:lang w:val="fr-FR"/>
        </w:rPr>
        <w:fldChar w:fldCharType="end"/>
      </w:r>
      <w:r w:rsidRPr="00DE7A42">
        <w:rPr>
          <w:lang w:val="fr-FR"/>
        </w:rPr>
        <w:t>.  Quant au refus des autorités de communiquer au requérant les rapports établis par les pédopsychiatres,</w:t>
      </w:r>
      <w:r w:rsidR="007A30CE" w:rsidRPr="00DE7A42">
        <w:rPr>
          <w:lang w:val="fr-FR"/>
        </w:rPr>
        <w:t xml:space="preserve"> la Cour rappelle qu</w:t>
      </w:r>
      <w:r w:rsidR="00DE7A42" w:rsidRPr="00DE7A42">
        <w:rPr>
          <w:lang w:val="fr-FR"/>
        </w:rPr>
        <w:t>’</w:t>
      </w:r>
      <w:r w:rsidR="007A30CE" w:rsidRPr="00DE7A42">
        <w:rPr>
          <w:lang w:val="fr-FR"/>
        </w:rPr>
        <w:t>elle a déjà souligné l</w:t>
      </w:r>
      <w:r w:rsidR="00DE7A42" w:rsidRPr="00DE7A42">
        <w:rPr>
          <w:lang w:val="fr-FR"/>
        </w:rPr>
        <w:t>’</w:t>
      </w:r>
      <w:r w:rsidR="007A30CE" w:rsidRPr="00DE7A42">
        <w:rPr>
          <w:lang w:val="fr-FR"/>
        </w:rPr>
        <w:t>importance que revêt pour les parents le fait d</w:t>
      </w:r>
      <w:r w:rsidR="00DE7A42" w:rsidRPr="00DE7A42">
        <w:rPr>
          <w:lang w:val="fr-FR"/>
        </w:rPr>
        <w:t>’</w:t>
      </w:r>
      <w:r w:rsidR="007A30CE" w:rsidRPr="00DE7A42">
        <w:rPr>
          <w:lang w:val="fr-FR"/>
        </w:rPr>
        <w:t>être toujours placés en position d</w:t>
      </w:r>
      <w:r w:rsidR="00DE7A42" w:rsidRPr="00DE7A42">
        <w:rPr>
          <w:lang w:val="fr-FR"/>
        </w:rPr>
        <w:t>’</w:t>
      </w:r>
      <w:r w:rsidR="007A30CE" w:rsidRPr="00DE7A42">
        <w:rPr>
          <w:lang w:val="fr-FR"/>
        </w:rPr>
        <w:t>avancer tous les arguments leur permettant d</w:t>
      </w:r>
      <w:r w:rsidR="00DE7A42" w:rsidRPr="00DE7A42">
        <w:rPr>
          <w:lang w:val="fr-FR"/>
        </w:rPr>
        <w:t>’</w:t>
      </w:r>
      <w:r w:rsidR="007A30CE" w:rsidRPr="00DE7A42">
        <w:rPr>
          <w:lang w:val="fr-FR"/>
        </w:rPr>
        <w:t xml:space="preserve">obtenir des contacts avec leur </w:t>
      </w:r>
      <w:r w:rsidR="00CE3BC7" w:rsidRPr="00DE7A42">
        <w:rPr>
          <w:lang w:val="fr-FR"/>
        </w:rPr>
        <w:t>enfant</w:t>
      </w:r>
      <w:r w:rsidR="00631ECA" w:rsidRPr="00DE7A42">
        <w:rPr>
          <w:lang w:val="fr-FR"/>
        </w:rPr>
        <w:t xml:space="preserve"> et le fait de pouvoir prendre connaissance des rapports psychiatriques ordonnés par le procureur dans des affaires concernant l</w:t>
      </w:r>
      <w:r w:rsidR="00DE7A42" w:rsidRPr="00DE7A42">
        <w:rPr>
          <w:lang w:val="fr-FR"/>
        </w:rPr>
        <w:t>’</w:t>
      </w:r>
      <w:r w:rsidR="00631ECA" w:rsidRPr="00DE7A42">
        <w:rPr>
          <w:lang w:val="fr-FR"/>
        </w:rPr>
        <w:t>accès de parents à leurs enfants (</w:t>
      </w:r>
      <w:r w:rsidR="00631ECA" w:rsidRPr="00DE7A42">
        <w:rPr>
          <w:i/>
          <w:lang w:val="fr-FR"/>
        </w:rPr>
        <w:t>Kosmopoulou</w:t>
      </w:r>
      <w:r w:rsidR="00631ECA" w:rsidRPr="00DE7A42">
        <w:rPr>
          <w:lang w:val="fr-FR"/>
        </w:rPr>
        <w:t>,</w:t>
      </w:r>
      <w:r w:rsidR="00C54E34" w:rsidRPr="00DE7A42">
        <w:rPr>
          <w:lang w:val="fr-FR"/>
        </w:rPr>
        <w:t xml:space="preserve"> précité</w:t>
      </w:r>
      <w:r w:rsidR="00631ECA" w:rsidRPr="00DE7A42">
        <w:rPr>
          <w:lang w:val="fr-FR"/>
        </w:rPr>
        <w:t>).</w:t>
      </w:r>
      <w:r w:rsidR="00E32F1F" w:rsidRPr="00DE7A42">
        <w:rPr>
          <w:lang w:val="fr-FR"/>
        </w:rPr>
        <w:t xml:space="preserve"> Or, tout comme dans cette affaire, aucune mesure n</w:t>
      </w:r>
      <w:r w:rsidR="00DE7A42" w:rsidRPr="00DE7A42">
        <w:rPr>
          <w:lang w:val="fr-FR"/>
        </w:rPr>
        <w:t>’</w:t>
      </w:r>
      <w:r w:rsidR="00E32F1F" w:rsidRPr="00DE7A42">
        <w:rPr>
          <w:lang w:val="fr-FR"/>
        </w:rPr>
        <w:t xml:space="preserve">a été prise </w:t>
      </w:r>
      <w:r w:rsidR="00B8664B" w:rsidRPr="00DE7A42">
        <w:rPr>
          <w:lang w:val="fr-FR"/>
        </w:rPr>
        <w:t>en l</w:t>
      </w:r>
      <w:r w:rsidR="00DE7A42" w:rsidRPr="00DE7A42">
        <w:rPr>
          <w:lang w:val="fr-FR"/>
        </w:rPr>
        <w:t>’</w:t>
      </w:r>
      <w:r w:rsidR="00B8664B" w:rsidRPr="00DE7A42">
        <w:rPr>
          <w:lang w:val="fr-FR"/>
        </w:rPr>
        <w:t xml:space="preserve">espèce </w:t>
      </w:r>
      <w:r w:rsidR="00E32F1F" w:rsidRPr="00DE7A42">
        <w:rPr>
          <w:lang w:val="fr-FR"/>
        </w:rPr>
        <w:t>par le procureur suite à l</w:t>
      </w:r>
      <w:r w:rsidR="00DE7A42" w:rsidRPr="00DE7A42">
        <w:rPr>
          <w:lang w:val="fr-FR"/>
        </w:rPr>
        <w:t>’</w:t>
      </w:r>
      <w:r w:rsidR="00E32F1F" w:rsidRPr="00DE7A42">
        <w:rPr>
          <w:lang w:val="fr-FR"/>
        </w:rPr>
        <w:t xml:space="preserve">établissement de différents rapports </w:t>
      </w:r>
      <w:r w:rsidR="00903FB5" w:rsidRPr="00DE7A42">
        <w:rPr>
          <w:lang w:val="fr-FR"/>
        </w:rPr>
        <w:t>dont le contenu démontrait la nécessité d</w:t>
      </w:r>
      <w:r w:rsidR="00DE7A42" w:rsidRPr="00DE7A42">
        <w:rPr>
          <w:lang w:val="fr-FR"/>
        </w:rPr>
        <w:t>’</w:t>
      </w:r>
      <w:r w:rsidR="00903FB5" w:rsidRPr="00DE7A42">
        <w:rPr>
          <w:lang w:val="fr-FR"/>
        </w:rPr>
        <w:t xml:space="preserve">un soutien psychologique </w:t>
      </w:r>
      <w:r w:rsidR="00D83277" w:rsidRPr="00DE7A42">
        <w:rPr>
          <w:lang w:val="fr-FR"/>
        </w:rPr>
        <w:t>impliquant sans doute tous les membres de la famille du requérant.</w:t>
      </w:r>
    </w:p>
    <w:p w:rsidR="009D5E02" w:rsidRPr="00DE7A42" w:rsidRDefault="009D5E02"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74</w:t>
      </w:r>
      <w:r w:rsidRPr="00DE7A42">
        <w:rPr>
          <w:lang w:val="fr-FR"/>
        </w:rPr>
        <w:fldChar w:fldCharType="end"/>
      </w:r>
      <w:r w:rsidRPr="00DE7A42">
        <w:rPr>
          <w:lang w:val="fr-FR"/>
        </w:rPr>
        <w:t xml:space="preserve">.  En définitive, la </w:t>
      </w:r>
      <w:r w:rsidR="00152B21" w:rsidRPr="00DE7A42">
        <w:rPr>
          <w:lang w:val="fr-FR"/>
        </w:rPr>
        <w:t xml:space="preserve">Cour ne saurait reprocher au requérant le fait de ne pas avoir poursuivi ses </w:t>
      </w:r>
      <w:r w:rsidR="00113990" w:rsidRPr="00DE7A42">
        <w:rPr>
          <w:lang w:val="fr-FR"/>
        </w:rPr>
        <w:t xml:space="preserve">actions civiles ou </w:t>
      </w:r>
      <w:r w:rsidR="00152B21" w:rsidRPr="00DE7A42">
        <w:rPr>
          <w:lang w:val="fr-FR"/>
        </w:rPr>
        <w:t>plaintes pénales qui auraient pu permettre aux autorités d</w:t>
      </w:r>
      <w:r w:rsidR="00DE7A42" w:rsidRPr="00DE7A42">
        <w:rPr>
          <w:lang w:val="fr-FR"/>
        </w:rPr>
        <w:t>’</w:t>
      </w:r>
      <w:r w:rsidR="00152B21" w:rsidRPr="00DE7A42">
        <w:rPr>
          <w:lang w:val="fr-FR"/>
        </w:rPr>
        <w:t>utiliser à l</w:t>
      </w:r>
      <w:r w:rsidR="00DE7A42" w:rsidRPr="00DE7A42">
        <w:rPr>
          <w:lang w:val="fr-FR"/>
        </w:rPr>
        <w:t>’</w:t>
      </w:r>
      <w:r w:rsidR="00152B21" w:rsidRPr="00DE7A42">
        <w:rPr>
          <w:lang w:val="fr-FR"/>
        </w:rPr>
        <w:t>encontre de la mère des moyens de contrainte, tels des amendes voire l</w:t>
      </w:r>
      <w:r w:rsidR="00DE7A42" w:rsidRPr="00DE7A42">
        <w:rPr>
          <w:lang w:val="fr-FR"/>
        </w:rPr>
        <w:t>’</w:t>
      </w:r>
      <w:r w:rsidR="00152B21" w:rsidRPr="00DE7A42">
        <w:rPr>
          <w:lang w:val="fr-FR"/>
        </w:rPr>
        <w:t>emprisonnement. Quoique les autorités étaient parfaitement au courant de l</w:t>
      </w:r>
      <w:r w:rsidR="00DE7A42" w:rsidRPr="00DE7A42">
        <w:rPr>
          <w:lang w:val="fr-FR"/>
        </w:rPr>
        <w:t>’</w:t>
      </w:r>
      <w:r w:rsidR="00152B21" w:rsidRPr="00DE7A42">
        <w:rPr>
          <w:lang w:val="fr-FR"/>
        </w:rPr>
        <w:t>obstruction d</w:t>
      </w:r>
      <w:r w:rsidR="00DE7A42" w:rsidRPr="00DE7A42">
        <w:rPr>
          <w:lang w:val="fr-FR"/>
        </w:rPr>
        <w:t>’</w:t>
      </w:r>
      <w:r w:rsidR="00152B21" w:rsidRPr="00DE7A42">
        <w:rPr>
          <w:lang w:val="fr-FR"/>
        </w:rPr>
        <w:t>I.P.au droit de visite du requérant, elles n</w:t>
      </w:r>
      <w:r w:rsidR="00DE7A42" w:rsidRPr="00DE7A42">
        <w:rPr>
          <w:lang w:val="fr-FR"/>
        </w:rPr>
        <w:t>’</w:t>
      </w:r>
      <w:r w:rsidR="00152B21" w:rsidRPr="00DE7A42">
        <w:rPr>
          <w:lang w:val="fr-FR"/>
        </w:rPr>
        <w:t xml:space="preserve">ont entrepris aucune démarche se contentant de prendre acte de la situation. </w:t>
      </w:r>
      <w:r w:rsidR="00315062" w:rsidRPr="00DE7A42">
        <w:rPr>
          <w:lang w:val="fr-FR"/>
        </w:rPr>
        <w:t>À cet égard, la Cour ne peut que relever l</w:t>
      </w:r>
      <w:r w:rsidR="00DE7A42" w:rsidRPr="00DE7A42">
        <w:rPr>
          <w:lang w:val="fr-FR"/>
        </w:rPr>
        <w:t>’</w:t>
      </w:r>
      <w:r w:rsidR="00315062" w:rsidRPr="00DE7A42">
        <w:rPr>
          <w:lang w:val="fr-FR"/>
        </w:rPr>
        <w:t>inertie du procureur chargé des mineurs suite à la communication des rapports établis par l</w:t>
      </w:r>
      <w:r w:rsidR="00DE7A42" w:rsidRPr="00DE7A42">
        <w:rPr>
          <w:lang w:val="fr-FR"/>
        </w:rPr>
        <w:t>’</w:t>
      </w:r>
      <w:r w:rsidR="00315062" w:rsidRPr="00DE7A42">
        <w:rPr>
          <w:lang w:val="fr-FR"/>
        </w:rPr>
        <w:t>assistance sociale ainsi que le refus du procureur de transmettre au requérant ces rapports afin que celui-ci puisse entreprendre un travail concret avec les pédopsychiatres.</w:t>
      </w:r>
    </w:p>
    <w:p w:rsidR="00DE7A42" w:rsidRPr="00DE7A42" w:rsidRDefault="00947276"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75</w:t>
      </w:r>
      <w:r w:rsidRPr="00DE7A42">
        <w:rPr>
          <w:lang w:val="fr-FR"/>
        </w:rPr>
        <w:fldChar w:fldCharType="end"/>
      </w:r>
      <w:r w:rsidRPr="00DE7A42">
        <w:rPr>
          <w:lang w:val="fr-FR"/>
        </w:rPr>
        <w:t>.  </w:t>
      </w:r>
      <w:r w:rsidR="006B6976" w:rsidRPr="00DE7A42">
        <w:rPr>
          <w:lang w:val="fr-FR"/>
        </w:rPr>
        <w:t>La Cour conclut que les autorités sont restées bien en deçà de ce qu</w:t>
      </w:r>
      <w:r w:rsidR="00DE7A42" w:rsidRPr="00DE7A42">
        <w:rPr>
          <w:lang w:val="fr-FR"/>
        </w:rPr>
        <w:t>’</w:t>
      </w:r>
      <w:r w:rsidR="006B6976" w:rsidRPr="00DE7A42">
        <w:rPr>
          <w:lang w:val="fr-FR"/>
        </w:rPr>
        <w:t>on pouvait raisonnablement attendre d</w:t>
      </w:r>
      <w:r w:rsidR="00DE7A42" w:rsidRPr="00DE7A42">
        <w:rPr>
          <w:lang w:val="fr-FR"/>
        </w:rPr>
        <w:t>’</w:t>
      </w:r>
      <w:r w:rsidR="006B6976" w:rsidRPr="00DE7A42">
        <w:rPr>
          <w:lang w:val="fr-FR"/>
        </w:rPr>
        <w:t>elles afin de</w:t>
      </w:r>
      <w:r w:rsidR="00CF322C" w:rsidRPr="00DE7A42">
        <w:rPr>
          <w:lang w:val="fr-FR"/>
        </w:rPr>
        <w:t xml:space="preserve"> satisfaire à</w:t>
      </w:r>
      <w:r w:rsidR="006B6976" w:rsidRPr="00DE7A42">
        <w:rPr>
          <w:lang w:val="fr-FR"/>
        </w:rPr>
        <w:t xml:space="preserve"> </w:t>
      </w:r>
      <w:r w:rsidR="00CF322C" w:rsidRPr="00DE7A42">
        <w:rPr>
          <w:lang w:val="fr-FR"/>
        </w:rPr>
        <w:t xml:space="preserve">leur obligation positive de prendre des mesures adéquates pour favoriser une réunion éventuelle du requérant avec ses enfants et protéger </w:t>
      </w:r>
      <w:r w:rsidR="006B6976" w:rsidRPr="00DE7A42">
        <w:rPr>
          <w:lang w:val="fr-FR"/>
        </w:rPr>
        <w:t>le droit d</w:t>
      </w:r>
      <w:r w:rsidR="00CF322C" w:rsidRPr="00DE7A42">
        <w:rPr>
          <w:lang w:val="fr-FR"/>
        </w:rPr>
        <w:t>e</w:t>
      </w:r>
      <w:r w:rsidR="006B6976" w:rsidRPr="00DE7A42">
        <w:rPr>
          <w:lang w:val="fr-FR"/>
        </w:rPr>
        <w:t xml:space="preserve"> </w:t>
      </w:r>
      <w:r w:rsidR="00CF322C" w:rsidRPr="00DE7A42">
        <w:rPr>
          <w:lang w:val="fr-FR"/>
        </w:rPr>
        <w:t xml:space="preserve">celui-ci </w:t>
      </w:r>
      <w:r w:rsidR="006B6976" w:rsidRPr="00DE7A42">
        <w:rPr>
          <w:lang w:val="fr-FR"/>
        </w:rPr>
        <w:t>au respect de sa vie familiale,</w:t>
      </w:r>
    </w:p>
    <w:p w:rsidR="007D1584" w:rsidRPr="00DE7A42" w:rsidRDefault="002857F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76</w:t>
      </w:r>
      <w:r w:rsidRPr="00DE7A42">
        <w:rPr>
          <w:lang w:val="fr-FR"/>
        </w:rPr>
        <w:fldChar w:fldCharType="end"/>
      </w:r>
      <w:r w:rsidRPr="00DE7A42">
        <w:rPr>
          <w:lang w:val="fr-FR"/>
        </w:rPr>
        <w:t>.  Partant, la Cour conc</w:t>
      </w:r>
      <w:r w:rsidR="00B8664B" w:rsidRPr="00DE7A42">
        <w:rPr>
          <w:lang w:val="fr-FR"/>
        </w:rPr>
        <w:t>lut à la violation de l</w:t>
      </w:r>
      <w:r w:rsidR="00DE7A42" w:rsidRPr="00DE7A42">
        <w:rPr>
          <w:lang w:val="fr-FR"/>
        </w:rPr>
        <w:t>’</w:t>
      </w:r>
      <w:r w:rsidR="00B8664B" w:rsidRPr="00DE7A42">
        <w:rPr>
          <w:lang w:val="fr-FR"/>
        </w:rPr>
        <w:t>article </w:t>
      </w:r>
      <w:r w:rsidRPr="00DE7A42">
        <w:rPr>
          <w:lang w:val="fr-FR"/>
        </w:rPr>
        <w:t>8 de la Convention.</w:t>
      </w:r>
    </w:p>
    <w:p w:rsidR="00E77CB3" w:rsidRPr="00DE7A42" w:rsidRDefault="00B10A63" w:rsidP="00DE7A42">
      <w:pPr>
        <w:pStyle w:val="ECHRHeading1"/>
        <w:rPr>
          <w:lang w:val="fr-FR"/>
        </w:rPr>
      </w:pPr>
      <w:r w:rsidRPr="00DE7A42">
        <w:rPr>
          <w:lang w:val="fr-FR"/>
        </w:rPr>
        <w:t>II</w:t>
      </w:r>
      <w:r w:rsidR="00E77CB3" w:rsidRPr="00DE7A42">
        <w:rPr>
          <w:lang w:val="fr-FR"/>
        </w:rPr>
        <w:t>.  SUR L</w:t>
      </w:r>
      <w:r w:rsidR="00DE7A42" w:rsidRPr="00DE7A42">
        <w:rPr>
          <w:lang w:val="fr-FR"/>
        </w:rPr>
        <w:t>’</w:t>
      </w:r>
      <w:r w:rsidR="00E77CB3" w:rsidRPr="00DE7A42">
        <w:rPr>
          <w:lang w:val="fr-FR"/>
        </w:rPr>
        <w:t>APPLICATION DE L</w:t>
      </w:r>
      <w:r w:rsidR="00DE7A42" w:rsidRPr="00DE7A42">
        <w:rPr>
          <w:lang w:val="fr-FR"/>
        </w:rPr>
        <w:t>’</w:t>
      </w:r>
      <w:r w:rsidR="00E77CB3" w:rsidRPr="00DE7A42">
        <w:rPr>
          <w:lang w:val="fr-FR"/>
        </w:rPr>
        <w:t>ARTICLE 41 DE LA CONVENTION</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77</w:t>
      </w:r>
      <w:r w:rsidRPr="00DE7A42">
        <w:rPr>
          <w:lang w:val="fr-FR"/>
        </w:rPr>
        <w:fldChar w:fldCharType="end"/>
      </w:r>
      <w:r w:rsidR="00E77CB3" w:rsidRPr="00DE7A42">
        <w:rPr>
          <w:lang w:val="fr-FR"/>
        </w:rPr>
        <w:t>.  Aux termes de l</w:t>
      </w:r>
      <w:r w:rsidR="00DE7A42" w:rsidRPr="00DE7A42">
        <w:rPr>
          <w:lang w:val="fr-FR"/>
        </w:rPr>
        <w:t>’</w:t>
      </w:r>
      <w:r w:rsidR="00E77CB3" w:rsidRPr="00DE7A42">
        <w:rPr>
          <w:lang w:val="fr-FR"/>
        </w:rPr>
        <w:t>article 41 de la Convention,</w:t>
      </w:r>
    </w:p>
    <w:p w:rsidR="00E77CB3" w:rsidRPr="00DE7A42" w:rsidRDefault="00E77CB3" w:rsidP="00DE7A42">
      <w:pPr>
        <w:pStyle w:val="ECHRParaQuote"/>
        <w:keepNext/>
        <w:keepLines/>
        <w:rPr>
          <w:lang w:val="fr-FR"/>
        </w:rPr>
      </w:pPr>
      <w:r w:rsidRPr="00DE7A42">
        <w:rPr>
          <w:lang w:val="fr-FR"/>
        </w:rPr>
        <w:t>« Si la Cour déclare qu</w:t>
      </w:r>
      <w:r w:rsidR="00DE7A42" w:rsidRPr="00DE7A42">
        <w:rPr>
          <w:lang w:val="fr-FR"/>
        </w:rPr>
        <w:t>’</w:t>
      </w:r>
      <w:r w:rsidRPr="00DE7A42">
        <w:rPr>
          <w:lang w:val="fr-FR"/>
        </w:rPr>
        <w:t>il y a eu violation de la Convention ou de ses Protocoles, et si le droit interne de la Haute Partie contractante ne permet d</w:t>
      </w:r>
      <w:r w:rsidR="00DE7A42" w:rsidRPr="00DE7A42">
        <w:rPr>
          <w:lang w:val="fr-FR"/>
        </w:rPr>
        <w:t>’</w:t>
      </w:r>
      <w:r w:rsidRPr="00DE7A42">
        <w:rPr>
          <w:lang w:val="fr-FR"/>
        </w:rPr>
        <w:t>effacer qu</w:t>
      </w:r>
      <w:r w:rsidR="00DE7A42" w:rsidRPr="00DE7A42">
        <w:rPr>
          <w:lang w:val="fr-FR"/>
        </w:rPr>
        <w:t>’</w:t>
      </w:r>
      <w:r w:rsidRPr="00DE7A42">
        <w:rPr>
          <w:lang w:val="fr-FR"/>
        </w:rPr>
        <w:t>imparfaitement les conséquences de cette violation, la Cour accorde à la partie lésée, s</w:t>
      </w:r>
      <w:r w:rsidR="00DE7A42" w:rsidRPr="00DE7A42">
        <w:rPr>
          <w:lang w:val="fr-FR"/>
        </w:rPr>
        <w:t>’</w:t>
      </w:r>
      <w:r w:rsidRPr="00DE7A42">
        <w:rPr>
          <w:lang w:val="fr-FR"/>
        </w:rPr>
        <w:t>il y a lieu, une satisfaction équitable. »</w:t>
      </w:r>
    </w:p>
    <w:p w:rsidR="00E77CB3" w:rsidRPr="00DE7A42" w:rsidRDefault="00E77CB3" w:rsidP="00DE7A42">
      <w:pPr>
        <w:pStyle w:val="ECHRHeading2"/>
        <w:outlineLvl w:val="0"/>
        <w:rPr>
          <w:lang w:val="fr-FR"/>
        </w:rPr>
      </w:pPr>
      <w:r w:rsidRPr="00DE7A42">
        <w:rPr>
          <w:lang w:val="fr-FR"/>
        </w:rPr>
        <w:t>A.  Dommage</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78</w:t>
      </w:r>
      <w:r w:rsidRPr="00DE7A42">
        <w:rPr>
          <w:lang w:val="fr-FR"/>
        </w:rPr>
        <w:fldChar w:fldCharType="end"/>
      </w:r>
      <w:r w:rsidR="00E77CB3" w:rsidRPr="00DE7A42">
        <w:rPr>
          <w:lang w:val="fr-FR"/>
        </w:rPr>
        <w:t>.  </w:t>
      </w:r>
      <w:r w:rsidR="00B013CE" w:rsidRPr="00DE7A42">
        <w:rPr>
          <w:lang w:val="fr-FR"/>
        </w:rPr>
        <w:t xml:space="preserve">Le requérant réclame 50 000 </w:t>
      </w:r>
      <w:r w:rsidR="00E77CB3" w:rsidRPr="00DE7A42">
        <w:rPr>
          <w:lang w:val="fr-FR"/>
        </w:rPr>
        <w:t>euros (EUR) au titre du préjudice moral qu</w:t>
      </w:r>
      <w:r w:rsidR="00DE7A42" w:rsidRPr="00DE7A42">
        <w:rPr>
          <w:lang w:val="fr-FR"/>
        </w:rPr>
        <w:t>’</w:t>
      </w:r>
      <w:r w:rsidRPr="00DE7A42">
        <w:rPr>
          <w:lang w:val="fr-FR"/>
        </w:rPr>
        <w:t>il</w:t>
      </w:r>
      <w:r w:rsidR="00E77CB3" w:rsidRPr="00DE7A42">
        <w:rPr>
          <w:lang w:val="fr-FR"/>
        </w:rPr>
        <w:t xml:space="preserve"> aurait subi</w:t>
      </w:r>
      <w:r w:rsidR="00B013CE" w:rsidRPr="00DE7A42">
        <w:rPr>
          <w:lang w:val="fr-FR"/>
        </w:rPr>
        <w:t xml:space="preserve"> faute d</w:t>
      </w:r>
      <w:r w:rsidR="00DE7A42" w:rsidRPr="00DE7A42">
        <w:rPr>
          <w:lang w:val="fr-FR"/>
        </w:rPr>
        <w:t>’</w:t>
      </w:r>
      <w:r w:rsidR="00B013CE" w:rsidRPr="00DE7A42">
        <w:rPr>
          <w:lang w:val="fr-FR"/>
        </w:rPr>
        <w:t>avoir pu pendant cinq ans avoir une vie familiale avec ses enfants</w:t>
      </w:r>
      <w:r w:rsidR="00E77CB3" w:rsidRPr="00DE7A42">
        <w:rPr>
          <w:lang w:val="fr-FR"/>
        </w:rPr>
        <w:t>.</w:t>
      </w:r>
    </w:p>
    <w:p w:rsidR="00DE7A42"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79</w:t>
      </w:r>
      <w:r w:rsidRPr="00DE7A42">
        <w:rPr>
          <w:lang w:val="fr-FR"/>
        </w:rPr>
        <w:fldChar w:fldCharType="end"/>
      </w:r>
      <w:r w:rsidR="00B013CE" w:rsidRPr="00DE7A42">
        <w:rPr>
          <w:lang w:val="fr-FR"/>
        </w:rPr>
        <w:t>.  Le Gouvernement soutient que la somme réclamée est exagérée et qu</w:t>
      </w:r>
      <w:r w:rsidR="00DE7A42" w:rsidRPr="00DE7A42">
        <w:rPr>
          <w:lang w:val="fr-FR"/>
        </w:rPr>
        <w:t>’</w:t>
      </w:r>
      <w:r w:rsidR="00B013CE" w:rsidRPr="00DE7A42">
        <w:rPr>
          <w:lang w:val="fr-FR"/>
        </w:rPr>
        <w:t>en cas de constat de violation, ce constat constituerait une satisfaction suffisante.</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80</w:t>
      </w:r>
      <w:r w:rsidRPr="00DE7A42">
        <w:rPr>
          <w:lang w:val="fr-FR"/>
        </w:rPr>
        <w:fldChar w:fldCharType="end"/>
      </w:r>
      <w:r w:rsidR="00E77CB3" w:rsidRPr="00DE7A42">
        <w:rPr>
          <w:lang w:val="fr-FR"/>
        </w:rPr>
        <w:t>.  La Cour considère qu</w:t>
      </w:r>
      <w:r w:rsidR="00DE7A42" w:rsidRPr="00DE7A42">
        <w:rPr>
          <w:lang w:val="fr-FR"/>
        </w:rPr>
        <w:t>’</w:t>
      </w:r>
      <w:r w:rsidR="00E77CB3" w:rsidRPr="00DE7A42">
        <w:rPr>
          <w:lang w:val="fr-FR"/>
        </w:rPr>
        <w:t>il y a lieu d</w:t>
      </w:r>
      <w:r w:rsidR="00DE7A42" w:rsidRPr="00DE7A42">
        <w:rPr>
          <w:lang w:val="fr-FR"/>
        </w:rPr>
        <w:t>’</w:t>
      </w:r>
      <w:r w:rsidR="00E77CB3" w:rsidRPr="00DE7A42">
        <w:rPr>
          <w:lang w:val="fr-FR"/>
        </w:rPr>
        <w:t xml:space="preserve">octroyer </w:t>
      </w:r>
      <w:r w:rsidRPr="00DE7A42">
        <w:rPr>
          <w:lang w:val="fr-FR"/>
        </w:rPr>
        <w:t>au requérant</w:t>
      </w:r>
      <w:r w:rsidR="0050095C" w:rsidRPr="00DE7A42">
        <w:rPr>
          <w:lang w:val="fr-FR"/>
        </w:rPr>
        <w:t xml:space="preserve"> 7 000</w:t>
      </w:r>
      <w:r w:rsidR="00E77CB3" w:rsidRPr="00DE7A42">
        <w:rPr>
          <w:lang w:val="fr-FR"/>
        </w:rPr>
        <w:t xml:space="preserve"> EUR au titre du préjudice moral.</w:t>
      </w:r>
    </w:p>
    <w:p w:rsidR="00E77CB3" w:rsidRPr="00DE7A42" w:rsidRDefault="00E77CB3" w:rsidP="00DE7A42">
      <w:pPr>
        <w:pStyle w:val="ECHRHeading2"/>
        <w:outlineLvl w:val="0"/>
        <w:rPr>
          <w:lang w:val="fr-FR"/>
        </w:rPr>
      </w:pPr>
      <w:r w:rsidRPr="00DE7A42">
        <w:rPr>
          <w:lang w:val="fr-FR"/>
        </w:rPr>
        <w:t>B.  Frais et dépens</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81</w:t>
      </w:r>
      <w:r w:rsidRPr="00DE7A42">
        <w:rPr>
          <w:lang w:val="fr-FR"/>
        </w:rPr>
        <w:fldChar w:fldCharType="end"/>
      </w:r>
      <w:r w:rsidR="00E77CB3" w:rsidRPr="00DE7A42">
        <w:rPr>
          <w:lang w:val="fr-FR"/>
        </w:rPr>
        <w:t>.  </w:t>
      </w:r>
      <w:r w:rsidRPr="00DE7A42">
        <w:rPr>
          <w:lang w:val="fr-FR"/>
        </w:rPr>
        <w:t>Le requérant</w:t>
      </w:r>
      <w:r w:rsidR="00B013CE" w:rsidRPr="00DE7A42">
        <w:rPr>
          <w:lang w:val="fr-FR"/>
        </w:rPr>
        <w:t xml:space="preserve"> demande également 8 450 </w:t>
      </w:r>
      <w:r w:rsidR="00E77CB3" w:rsidRPr="00DE7A42">
        <w:rPr>
          <w:lang w:val="fr-FR"/>
        </w:rPr>
        <w:t xml:space="preserve">EUR pour les frais et dépens engagés devant </w:t>
      </w:r>
      <w:r w:rsidR="00B013CE" w:rsidRPr="00DE7A42">
        <w:rPr>
          <w:lang w:val="fr-FR"/>
        </w:rPr>
        <w:t>les juridictions internes (notamment pour l</w:t>
      </w:r>
      <w:r w:rsidR="00DE7A42" w:rsidRPr="00DE7A42">
        <w:rPr>
          <w:lang w:val="fr-FR"/>
        </w:rPr>
        <w:t>’</w:t>
      </w:r>
      <w:r w:rsidR="00B013CE" w:rsidRPr="00DE7A42">
        <w:rPr>
          <w:lang w:val="fr-FR"/>
        </w:rPr>
        <w:t>action ayant abouti au jugement n</w:t>
      </w:r>
      <w:r w:rsidR="004831D1" w:rsidRPr="00DE7A42">
        <w:rPr>
          <w:vertAlign w:val="superscript"/>
          <w:lang w:val="fr-FR"/>
        </w:rPr>
        <w:t>o</w:t>
      </w:r>
      <w:r w:rsidR="00B013CE" w:rsidRPr="00DE7A42">
        <w:rPr>
          <w:lang w:val="fr-FR"/>
        </w:rPr>
        <w:t xml:space="preserve"> 1376/2011 et les différentes pla</w:t>
      </w:r>
      <w:r w:rsidR="00B82450" w:rsidRPr="00DE7A42">
        <w:rPr>
          <w:lang w:val="fr-FR"/>
        </w:rPr>
        <w:t>i</w:t>
      </w:r>
      <w:r w:rsidR="00B013CE" w:rsidRPr="00DE7A42">
        <w:rPr>
          <w:lang w:val="fr-FR"/>
        </w:rPr>
        <w:t xml:space="preserve">ntes) et 12 300 </w:t>
      </w:r>
      <w:r w:rsidR="00E77CB3" w:rsidRPr="00DE7A42">
        <w:rPr>
          <w:lang w:val="fr-FR"/>
        </w:rPr>
        <w:t>EUR pour ceux engagés devant la Cour.</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82</w:t>
      </w:r>
      <w:r w:rsidRPr="00DE7A42">
        <w:rPr>
          <w:lang w:val="fr-FR"/>
        </w:rPr>
        <w:fldChar w:fldCharType="end"/>
      </w:r>
      <w:r w:rsidR="00B013CE" w:rsidRPr="00DE7A42">
        <w:rPr>
          <w:lang w:val="fr-FR"/>
        </w:rPr>
        <w:t>.  Le Gouvernement invite la Cour à rejeter les prétentions</w:t>
      </w:r>
      <w:r w:rsidR="009D7EC0" w:rsidRPr="00DE7A42">
        <w:rPr>
          <w:lang w:val="fr-FR"/>
        </w:rPr>
        <w:t xml:space="preserve"> du</w:t>
      </w:r>
      <w:r w:rsidR="00B82450" w:rsidRPr="00DE7A42">
        <w:rPr>
          <w:lang w:val="fr-FR"/>
        </w:rPr>
        <w:t xml:space="preserve"> </w:t>
      </w:r>
      <w:r w:rsidR="009D7EC0" w:rsidRPr="00DE7A42">
        <w:rPr>
          <w:lang w:val="fr-FR"/>
        </w:rPr>
        <w:t>requérant faute pour lui</w:t>
      </w:r>
      <w:r w:rsidR="00B013CE" w:rsidRPr="00DE7A42">
        <w:rPr>
          <w:lang w:val="fr-FR"/>
        </w:rPr>
        <w:t xml:space="preserve"> d</w:t>
      </w:r>
      <w:r w:rsidR="00DE7A42" w:rsidRPr="00DE7A42">
        <w:rPr>
          <w:lang w:val="fr-FR"/>
        </w:rPr>
        <w:t>’</w:t>
      </w:r>
      <w:r w:rsidR="00B013CE" w:rsidRPr="00DE7A42">
        <w:rPr>
          <w:lang w:val="fr-FR"/>
        </w:rPr>
        <w:t>avoir produit les justificatifs nécessaires.</w:t>
      </w:r>
    </w:p>
    <w:p w:rsidR="0050095C" w:rsidRPr="00DE7A42" w:rsidRDefault="0050095C"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83</w:t>
      </w:r>
      <w:r w:rsidRPr="00DE7A42">
        <w:rPr>
          <w:lang w:val="fr-FR"/>
        </w:rPr>
        <w:fldChar w:fldCharType="end"/>
      </w:r>
      <w:r w:rsidRPr="00DE7A42">
        <w:rPr>
          <w:lang w:val="fr-FR"/>
        </w:rPr>
        <w:t>.  Dans le cas d</w:t>
      </w:r>
      <w:r w:rsidR="00DE7A42" w:rsidRPr="00DE7A42">
        <w:rPr>
          <w:lang w:val="fr-FR"/>
        </w:rPr>
        <w:t>’</w:t>
      </w:r>
      <w:r w:rsidRPr="00DE7A42">
        <w:rPr>
          <w:lang w:val="fr-FR"/>
        </w:rPr>
        <w:t xml:space="preserve">espèce, la Cour note que le requérant ne produit aucune facture en ce qui concerne les frais engagés ni devant la Cour ni devant les juridictions saisies, à part </w:t>
      </w:r>
      <w:r w:rsidR="00B82450" w:rsidRPr="00DE7A42">
        <w:rPr>
          <w:lang w:val="fr-FR"/>
        </w:rPr>
        <w:t>celle</w:t>
      </w:r>
      <w:r w:rsidRPr="00DE7A42">
        <w:rPr>
          <w:lang w:val="fr-FR"/>
        </w:rPr>
        <w:t xml:space="preserve"> concernant l</w:t>
      </w:r>
      <w:r w:rsidR="00DE7A42" w:rsidRPr="00DE7A42">
        <w:rPr>
          <w:lang w:val="fr-FR"/>
        </w:rPr>
        <w:t>’</w:t>
      </w:r>
      <w:r w:rsidRPr="00DE7A42">
        <w:rPr>
          <w:lang w:val="fr-FR"/>
        </w:rPr>
        <w:t>audience devant le tribunal ayant donné lieu au jugement n</w:t>
      </w:r>
      <w:r w:rsidR="004831D1" w:rsidRPr="00DE7A42">
        <w:rPr>
          <w:vertAlign w:val="superscript"/>
          <w:lang w:val="fr-FR"/>
        </w:rPr>
        <w:t>o</w:t>
      </w:r>
      <w:r w:rsidRPr="00DE7A42">
        <w:rPr>
          <w:lang w:val="fr-FR"/>
        </w:rPr>
        <w:t xml:space="preserve"> 1376/2011. Toutefois, il s</w:t>
      </w:r>
      <w:r w:rsidR="00DE7A42" w:rsidRPr="00DE7A42">
        <w:rPr>
          <w:lang w:val="fr-FR"/>
        </w:rPr>
        <w:t>’</w:t>
      </w:r>
      <w:r w:rsidRPr="00DE7A42">
        <w:rPr>
          <w:lang w:val="fr-FR"/>
        </w:rPr>
        <w:t xml:space="preserve">agit là du jugement fixant le droit de visite du requérant et non </w:t>
      </w:r>
      <w:r w:rsidR="00294A3E" w:rsidRPr="00DE7A42">
        <w:rPr>
          <w:lang w:val="fr-FR"/>
        </w:rPr>
        <w:t>d</w:t>
      </w:r>
      <w:r w:rsidR="00DE7A42" w:rsidRPr="00DE7A42">
        <w:rPr>
          <w:lang w:val="fr-FR"/>
        </w:rPr>
        <w:t>’</w:t>
      </w:r>
      <w:r w:rsidRPr="00DE7A42">
        <w:rPr>
          <w:lang w:val="fr-FR"/>
        </w:rPr>
        <w:t>une procédure ou démar</w:t>
      </w:r>
      <w:r w:rsidR="00A44227" w:rsidRPr="00DE7A42">
        <w:rPr>
          <w:lang w:val="fr-FR"/>
        </w:rPr>
        <w:t>che visant à le faire appliquer</w:t>
      </w:r>
      <w:r w:rsidR="00C03BF6" w:rsidRPr="00DE7A42">
        <w:rPr>
          <w:lang w:val="fr-FR"/>
        </w:rPr>
        <w:t>,</w:t>
      </w:r>
      <w:r w:rsidRPr="00DE7A42">
        <w:rPr>
          <w:lang w:val="fr-FR"/>
        </w:rPr>
        <w:t xml:space="preserve"> ce qui est son grief devant la Cour.</w:t>
      </w:r>
    </w:p>
    <w:p w:rsidR="0050095C" w:rsidRPr="00DE7A42" w:rsidRDefault="0050095C"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84</w:t>
      </w:r>
      <w:r w:rsidRPr="00DE7A42">
        <w:rPr>
          <w:lang w:val="fr-FR"/>
        </w:rPr>
        <w:fldChar w:fldCharType="end"/>
      </w:r>
      <w:r w:rsidRPr="00DE7A42">
        <w:rPr>
          <w:lang w:val="fr-FR"/>
        </w:rPr>
        <w:t>.  Il échet donc de rejeter ses prétentions au titre des frais et dépens.</w:t>
      </w:r>
    </w:p>
    <w:p w:rsidR="00E77CB3" w:rsidRPr="00DE7A42" w:rsidRDefault="00E77CB3" w:rsidP="00DE7A42">
      <w:pPr>
        <w:pStyle w:val="ECHRHeading2"/>
        <w:outlineLvl w:val="0"/>
        <w:rPr>
          <w:lang w:val="fr-FR"/>
        </w:rPr>
      </w:pPr>
      <w:r w:rsidRPr="00DE7A42">
        <w:rPr>
          <w:lang w:val="fr-FR"/>
        </w:rPr>
        <w:t>C.  Intérêts moratoires</w:t>
      </w:r>
    </w:p>
    <w:p w:rsidR="00E77CB3" w:rsidRPr="00DE7A42" w:rsidRDefault="00B60430" w:rsidP="00DE7A42">
      <w:pPr>
        <w:pStyle w:val="ECHRPara"/>
        <w:rPr>
          <w:lang w:val="fr-FR"/>
        </w:rPr>
      </w:pPr>
      <w:r w:rsidRPr="00DE7A42">
        <w:rPr>
          <w:lang w:val="fr-FR"/>
        </w:rPr>
        <w:fldChar w:fldCharType="begin"/>
      </w:r>
      <w:r w:rsidRPr="00DE7A42">
        <w:rPr>
          <w:lang w:val="fr-FR"/>
        </w:rPr>
        <w:instrText xml:space="preserve"> SEQ level0 \*arabic </w:instrText>
      </w:r>
      <w:r w:rsidRPr="00DE7A42">
        <w:rPr>
          <w:lang w:val="fr-FR"/>
        </w:rPr>
        <w:fldChar w:fldCharType="separate"/>
      </w:r>
      <w:r w:rsidR="00DE7A42" w:rsidRPr="00DE7A42">
        <w:rPr>
          <w:noProof/>
          <w:lang w:val="fr-FR"/>
        </w:rPr>
        <w:t>85</w:t>
      </w:r>
      <w:r w:rsidRPr="00DE7A42">
        <w:rPr>
          <w:lang w:val="fr-FR"/>
        </w:rPr>
        <w:fldChar w:fldCharType="end"/>
      </w:r>
      <w:r w:rsidR="00E77CB3" w:rsidRPr="00DE7A42">
        <w:rPr>
          <w:lang w:val="fr-FR"/>
        </w:rPr>
        <w:t>.  La Cour juge approprié de calquer le taux des intérêts moratoires sur le taux d</w:t>
      </w:r>
      <w:r w:rsidR="00DE7A42" w:rsidRPr="00DE7A42">
        <w:rPr>
          <w:lang w:val="fr-FR"/>
        </w:rPr>
        <w:t>’</w:t>
      </w:r>
      <w:r w:rsidR="00E77CB3" w:rsidRPr="00DE7A42">
        <w:rPr>
          <w:lang w:val="fr-FR"/>
        </w:rPr>
        <w:t>intérêt de la facilité de prêt marginal de la Banque centrale européenne majoré de trois points de pourcentage.</w:t>
      </w:r>
    </w:p>
    <w:p w:rsidR="00E77CB3" w:rsidRPr="00DE7A42" w:rsidRDefault="00E77CB3" w:rsidP="00DE7A42">
      <w:pPr>
        <w:pStyle w:val="ECHRTitle1"/>
        <w:rPr>
          <w:lang w:val="fr-FR"/>
        </w:rPr>
      </w:pPr>
      <w:r w:rsidRPr="00DE7A42">
        <w:rPr>
          <w:lang w:val="fr-FR"/>
        </w:rPr>
        <w:t>PAR CES MOTIFS, LA COUR</w:t>
      </w:r>
      <w:r w:rsidR="00B60430" w:rsidRPr="00DE7A42">
        <w:rPr>
          <w:lang w:val="fr-FR"/>
        </w:rPr>
        <w:t>, À L</w:t>
      </w:r>
      <w:r w:rsidR="00DE7A42" w:rsidRPr="00DE7A42">
        <w:rPr>
          <w:lang w:val="fr-FR"/>
        </w:rPr>
        <w:t>’</w:t>
      </w:r>
      <w:r w:rsidR="00B60430" w:rsidRPr="00DE7A42">
        <w:rPr>
          <w:lang w:val="fr-FR"/>
        </w:rPr>
        <w:t>UNANIMITÉ,</w:t>
      </w:r>
    </w:p>
    <w:p w:rsidR="00FB2B45" w:rsidRPr="00DE7A42" w:rsidRDefault="00712911" w:rsidP="00DE7A42">
      <w:pPr>
        <w:pStyle w:val="JuList"/>
        <w:rPr>
          <w:lang w:val="fr-FR"/>
        </w:rPr>
      </w:pPr>
      <w:r w:rsidRPr="00DE7A42">
        <w:rPr>
          <w:lang w:val="fr-FR"/>
        </w:rPr>
        <w:t>1</w:t>
      </w:r>
      <w:r w:rsidR="00FB2B45" w:rsidRPr="00DE7A42">
        <w:rPr>
          <w:lang w:val="fr-FR"/>
        </w:rPr>
        <w:t>.  </w:t>
      </w:r>
      <w:r w:rsidR="00FB2B45" w:rsidRPr="00DE7A42">
        <w:rPr>
          <w:i/>
          <w:lang w:val="fr-FR"/>
        </w:rPr>
        <w:t>Déclare</w:t>
      </w:r>
      <w:r w:rsidR="00B60430" w:rsidRPr="00DE7A42">
        <w:rPr>
          <w:lang w:val="fr-FR"/>
        </w:rPr>
        <w:t>, à l</w:t>
      </w:r>
      <w:r w:rsidR="00DE7A42" w:rsidRPr="00DE7A42">
        <w:rPr>
          <w:lang w:val="fr-FR"/>
        </w:rPr>
        <w:t>’</w:t>
      </w:r>
      <w:r w:rsidR="00B60430" w:rsidRPr="00DE7A42">
        <w:rPr>
          <w:lang w:val="fr-FR"/>
        </w:rPr>
        <w:t>unanimité, la requête recevable</w:t>
      </w:r>
      <w:r w:rsidR="005C07B3" w:rsidRPr="00DE7A42">
        <w:rPr>
          <w:lang w:val="fr-FR"/>
        </w:rPr>
        <w:t> ;</w:t>
      </w:r>
    </w:p>
    <w:p w:rsidR="00E77CB3" w:rsidRPr="00DE7A42" w:rsidRDefault="00E77CB3" w:rsidP="00DE7A42">
      <w:pPr>
        <w:pStyle w:val="JuList"/>
        <w:rPr>
          <w:lang w:val="fr-FR"/>
        </w:rPr>
      </w:pPr>
    </w:p>
    <w:p w:rsidR="00E77CB3" w:rsidRPr="00DE7A42" w:rsidRDefault="00712911" w:rsidP="00DE7A42">
      <w:pPr>
        <w:pStyle w:val="JuList"/>
        <w:rPr>
          <w:lang w:val="fr-FR"/>
        </w:rPr>
      </w:pPr>
      <w:r w:rsidRPr="00DE7A42">
        <w:rPr>
          <w:lang w:val="fr-FR"/>
        </w:rPr>
        <w:t>2</w:t>
      </w:r>
      <w:r w:rsidR="00E77CB3" w:rsidRPr="00DE7A42">
        <w:rPr>
          <w:lang w:val="fr-FR"/>
        </w:rPr>
        <w:t>.  </w:t>
      </w:r>
      <w:r w:rsidR="00E77CB3" w:rsidRPr="00DE7A42">
        <w:rPr>
          <w:i/>
          <w:lang w:val="fr-FR"/>
        </w:rPr>
        <w:t>Dit</w:t>
      </w:r>
      <w:r w:rsidR="00B60430" w:rsidRPr="00DE7A42">
        <w:rPr>
          <w:lang w:val="fr-FR"/>
        </w:rPr>
        <w:t>, à l</w:t>
      </w:r>
      <w:r w:rsidR="00DE7A42" w:rsidRPr="00DE7A42">
        <w:rPr>
          <w:lang w:val="fr-FR"/>
        </w:rPr>
        <w:t>’</w:t>
      </w:r>
      <w:r w:rsidR="00B60430" w:rsidRPr="00DE7A42">
        <w:rPr>
          <w:lang w:val="fr-FR"/>
        </w:rPr>
        <w:t xml:space="preserve">unanimité, </w:t>
      </w:r>
      <w:r w:rsidR="00E77CB3" w:rsidRPr="00DE7A42">
        <w:rPr>
          <w:lang w:val="fr-FR"/>
        </w:rPr>
        <w:t>qu</w:t>
      </w:r>
      <w:r w:rsidR="00DE7A42" w:rsidRPr="00DE7A42">
        <w:rPr>
          <w:lang w:val="fr-FR"/>
        </w:rPr>
        <w:t>’</w:t>
      </w:r>
      <w:r w:rsidR="00E77CB3" w:rsidRPr="00DE7A42">
        <w:rPr>
          <w:lang w:val="fr-FR"/>
        </w:rPr>
        <w:t>il y a eu violation</w:t>
      </w:r>
      <w:r w:rsidR="00B709DA" w:rsidRPr="00DE7A42">
        <w:rPr>
          <w:lang w:val="fr-FR"/>
        </w:rPr>
        <w:t xml:space="preserve"> </w:t>
      </w:r>
      <w:r w:rsidR="00E77CB3" w:rsidRPr="00DE7A42">
        <w:rPr>
          <w:lang w:val="fr-FR"/>
        </w:rPr>
        <w:t>de l</w:t>
      </w:r>
      <w:r w:rsidR="00DE7A42" w:rsidRPr="00DE7A42">
        <w:rPr>
          <w:lang w:val="fr-FR"/>
        </w:rPr>
        <w:t>’</w:t>
      </w:r>
      <w:r w:rsidR="00E77CB3" w:rsidRPr="00DE7A42">
        <w:rPr>
          <w:lang w:val="fr-FR"/>
        </w:rPr>
        <w:t xml:space="preserve">article </w:t>
      </w:r>
      <w:r w:rsidR="002D4C37" w:rsidRPr="00DE7A42">
        <w:rPr>
          <w:lang w:val="fr-FR"/>
        </w:rPr>
        <w:t>8</w:t>
      </w:r>
      <w:r w:rsidR="00E77CB3" w:rsidRPr="00DE7A42">
        <w:rPr>
          <w:lang w:val="fr-FR"/>
        </w:rPr>
        <w:t xml:space="preserve"> de la Convention ;</w:t>
      </w:r>
    </w:p>
    <w:p w:rsidR="00DF1924" w:rsidRPr="00DE7A42" w:rsidRDefault="00DF1924" w:rsidP="00DE7A42">
      <w:pPr>
        <w:pStyle w:val="JuList"/>
        <w:ind w:left="0" w:firstLine="0"/>
        <w:rPr>
          <w:lang w:val="fr-FR"/>
        </w:rPr>
      </w:pPr>
    </w:p>
    <w:p w:rsidR="00E77CB3" w:rsidRPr="00DE7A42" w:rsidRDefault="00712911" w:rsidP="00DE7A42">
      <w:pPr>
        <w:pStyle w:val="JuList"/>
        <w:rPr>
          <w:lang w:val="fr-FR"/>
        </w:rPr>
      </w:pPr>
      <w:r w:rsidRPr="00DE7A42">
        <w:rPr>
          <w:lang w:val="fr-FR"/>
        </w:rPr>
        <w:t>3</w:t>
      </w:r>
      <w:r w:rsidR="00E77CB3" w:rsidRPr="00DE7A42">
        <w:rPr>
          <w:lang w:val="fr-FR"/>
        </w:rPr>
        <w:t>.  </w:t>
      </w:r>
      <w:r w:rsidR="00E77CB3" w:rsidRPr="00DE7A42">
        <w:rPr>
          <w:i/>
          <w:lang w:val="fr-FR"/>
        </w:rPr>
        <w:t>Dit</w:t>
      </w:r>
      <w:r w:rsidR="003B6BE0" w:rsidRPr="00DE7A42">
        <w:rPr>
          <w:lang w:val="fr-FR"/>
        </w:rPr>
        <w:t xml:space="preserve">, </w:t>
      </w:r>
      <w:r w:rsidR="00B60430" w:rsidRPr="00DE7A42">
        <w:rPr>
          <w:lang w:val="fr-FR"/>
        </w:rPr>
        <w:t>à l</w:t>
      </w:r>
      <w:r w:rsidR="00DE7A42" w:rsidRPr="00DE7A42">
        <w:rPr>
          <w:lang w:val="fr-FR"/>
        </w:rPr>
        <w:t>’</w:t>
      </w:r>
      <w:r w:rsidR="00B60430" w:rsidRPr="00DE7A42">
        <w:rPr>
          <w:lang w:val="fr-FR"/>
        </w:rPr>
        <w:t>unanimité,</w:t>
      </w:r>
    </w:p>
    <w:p w:rsidR="00E77CB3" w:rsidRPr="00DE7A42" w:rsidRDefault="00E77CB3" w:rsidP="00DE7A42">
      <w:pPr>
        <w:pStyle w:val="JuLista"/>
        <w:rPr>
          <w:lang w:val="fr-FR" w:eastAsia="en-GB"/>
        </w:rPr>
      </w:pPr>
      <w:r w:rsidRPr="00DE7A42">
        <w:rPr>
          <w:lang w:val="fr-FR"/>
        </w:rPr>
        <w:t>a)  que l</w:t>
      </w:r>
      <w:r w:rsidR="00DE7A42" w:rsidRPr="00DE7A42">
        <w:rPr>
          <w:lang w:val="fr-FR"/>
        </w:rPr>
        <w:t>’</w:t>
      </w:r>
      <w:r w:rsidRPr="00DE7A42">
        <w:rPr>
          <w:lang w:val="fr-FR"/>
        </w:rPr>
        <w:t xml:space="preserve">État défendeur doit verser </w:t>
      </w:r>
      <w:r w:rsidR="00B60430" w:rsidRPr="00DE7A42">
        <w:rPr>
          <w:lang w:val="fr-FR"/>
        </w:rPr>
        <w:t>au requérant</w:t>
      </w:r>
      <w:r w:rsidRPr="00DE7A42">
        <w:rPr>
          <w:lang w:val="fr-FR"/>
        </w:rPr>
        <w:t>, dans les trois mois</w:t>
      </w:r>
      <w:r w:rsidR="0050095C" w:rsidRPr="00DE7A42">
        <w:rPr>
          <w:lang w:val="fr-FR"/>
        </w:rPr>
        <w:t xml:space="preserve">, </w:t>
      </w:r>
      <w:r w:rsidR="00B60430" w:rsidRPr="00DE7A42">
        <w:rPr>
          <w:lang w:val="fr-FR"/>
        </w:rPr>
        <w:t>à compter du jour où l</w:t>
      </w:r>
      <w:r w:rsidR="00DE7A42" w:rsidRPr="00DE7A42">
        <w:rPr>
          <w:lang w:val="fr-FR"/>
        </w:rPr>
        <w:t>’</w:t>
      </w:r>
      <w:r w:rsidR="00B60430" w:rsidRPr="00DE7A42">
        <w:rPr>
          <w:lang w:val="fr-FR"/>
        </w:rPr>
        <w:t>arrêt sera devenu définitif conformément à l</w:t>
      </w:r>
      <w:r w:rsidR="00DE7A42" w:rsidRPr="00DE7A42">
        <w:rPr>
          <w:lang w:val="fr-FR"/>
        </w:rPr>
        <w:t>’</w:t>
      </w:r>
      <w:r w:rsidR="00B60430" w:rsidRPr="00DE7A42">
        <w:rPr>
          <w:lang w:val="fr-FR"/>
        </w:rPr>
        <w:t>article 44 § 2 de la Convention</w:t>
      </w:r>
      <w:r w:rsidR="0050095C" w:rsidRPr="00DE7A42">
        <w:rPr>
          <w:lang w:val="fr-FR"/>
        </w:rPr>
        <w:t xml:space="preserve">, la somme de 7 000 </w:t>
      </w:r>
      <w:r w:rsidRPr="00DE7A42">
        <w:rPr>
          <w:lang w:val="fr-FR" w:eastAsia="en-GB"/>
        </w:rPr>
        <w:t>EUR (</w:t>
      </w:r>
      <w:r w:rsidR="0050095C" w:rsidRPr="00DE7A42">
        <w:rPr>
          <w:lang w:val="fr-FR" w:eastAsia="en-GB"/>
        </w:rPr>
        <w:t>sept mille</w:t>
      </w:r>
      <w:r w:rsidRPr="00DE7A42">
        <w:rPr>
          <w:lang w:val="fr-FR" w:eastAsia="en-GB"/>
        </w:rPr>
        <w:t xml:space="preserve"> euros), plus tout montant pouvant être dû à titre d</w:t>
      </w:r>
      <w:r w:rsidR="00DE7A42" w:rsidRPr="00DE7A42">
        <w:rPr>
          <w:lang w:val="fr-FR" w:eastAsia="en-GB"/>
        </w:rPr>
        <w:t>’</w:t>
      </w:r>
      <w:r w:rsidRPr="00DE7A42">
        <w:rPr>
          <w:lang w:val="fr-FR" w:eastAsia="en-GB"/>
        </w:rPr>
        <w:t>impôt, pour dommage moral ;</w:t>
      </w:r>
    </w:p>
    <w:p w:rsidR="00E77CB3" w:rsidRPr="00DE7A42" w:rsidRDefault="00E77CB3" w:rsidP="00DE7A42">
      <w:pPr>
        <w:pStyle w:val="JuLista"/>
        <w:rPr>
          <w:lang w:val="fr-FR"/>
        </w:rPr>
      </w:pPr>
      <w:r w:rsidRPr="00DE7A42">
        <w:rPr>
          <w:lang w:val="fr-FR"/>
        </w:rPr>
        <w:t>b)  qu</w:t>
      </w:r>
      <w:r w:rsidR="00DE7A42" w:rsidRPr="00DE7A42">
        <w:rPr>
          <w:lang w:val="fr-FR"/>
        </w:rPr>
        <w:t>’</w:t>
      </w:r>
      <w:r w:rsidRPr="00DE7A42">
        <w:rPr>
          <w:lang w:val="fr-FR"/>
        </w:rPr>
        <w:t>à compter de l</w:t>
      </w:r>
      <w:r w:rsidR="00DE7A42" w:rsidRPr="00DE7A42">
        <w:rPr>
          <w:lang w:val="fr-FR"/>
        </w:rPr>
        <w:t>’</w:t>
      </w:r>
      <w:r w:rsidRPr="00DE7A42">
        <w:rPr>
          <w:lang w:val="fr-FR"/>
        </w:rPr>
        <w:t>expiration dudit délai et jusqu</w:t>
      </w:r>
      <w:r w:rsidR="00DE7A42" w:rsidRPr="00DE7A42">
        <w:rPr>
          <w:lang w:val="fr-FR"/>
        </w:rPr>
        <w:t>’</w:t>
      </w:r>
      <w:r w:rsidR="0050095C" w:rsidRPr="00DE7A42">
        <w:rPr>
          <w:lang w:val="fr-FR"/>
        </w:rPr>
        <w:t>au versement, ce</w:t>
      </w:r>
      <w:r w:rsidRPr="00DE7A42">
        <w:rPr>
          <w:lang w:val="fr-FR"/>
        </w:rPr>
        <w:t xml:space="preserve"> montant</w:t>
      </w:r>
      <w:r w:rsidR="0050095C" w:rsidRPr="00DE7A42">
        <w:rPr>
          <w:lang w:val="fr-FR"/>
        </w:rPr>
        <w:t xml:space="preserve"> sera</w:t>
      </w:r>
      <w:r w:rsidRPr="00DE7A42">
        <w:rPr>
          <w:lang w:val="fr-FR"/>
        </w:rPr>
        <w:t xml:space="preserve"> à majorer d</w:t>
      </w:r>
      <w:r w:rsidR="00DE7A42" w:rsidRPr="00DE7A42">
        <w:rPr>
          <w:lang w:val="fr-FR"/>
        </w:rPr>
        <w:t>’</w:t>
      </w:r>
      <w:r w:rsidRPr="00DE7A42">
        <w:rPr>
          <w:lang w:val="fr-FR"/>
        </w:rPr>
        <w:t>un intérêt simple à un taux égal à celui de la facilité de prêt marginal de la Banque centrale européenne applicable pendant cette période, augmenté de trois points de pourcentage ;</w:t>
      </w:r>
    </w:p>
    <w:p w:rsidR="00E77CB3" w:rsidRPr="00DE7A42" w:rsidRDefault="00E77CB3" w:rsidP="00DE7A42">
      <w:pPr>
        <w:pStyle w:val="JuLista"/>
        <w:rPr>
          <w:lang w:val="fr-FR"/>
        </w:rPr>
      </w:pPr>
    </w:p>
    <w:p w:rsidR="00E77CB3" w:rsidRPr="00DE7A42" w:rsidRDefault="00712911" w:rsidP="00DE7A42">
      <w:pPr>
        <w:pStyle w:val="JuList"/>
        <w:rPr>
          <w:lang w:val="fr-FR"/>
        </w:rPr>
      </w:pPr>
      <w:r w:rsidRPr="00DE7A42">
        <w:rPr>
          <w:lang w:val="fr-FR"/>
        </w:rPr>
        <w:t>4</w:t>
      </w:r>
      <w:r w:rsidR="00E77CB3" w:rsidRPr="00DE7A42">
        <w:rPr>
          <w:lang w:val="fr-FR"/>
        </w:rPr>
        <w:t>.  </w:t>
      </w:r>
      <w:r w:rsidR="00E77CB3" w:rsidRPr="00DE7A42">
        <w:rPr>
          <w:i/>
          <w:lang w:val="fr-FR"/>
        </w:rPr>
        <w:t>Rejette</w:t>
      </w:r>
      <w:r w:rsidR="00B60430" w:rsidRPr="00DE7A42">
        <w:rPr>
          <w:lang w:val="fr-FR"/>
        </w:rPr>
        <w:t>, à l</w:t>
      </w:r>
      <w:r w:rsidR="00DE7A42" w:rsidRPr="00DE7A42">
        <w:rPr>
          <w:lang w:val="fr-FR"/>
        </w:rPr>
        <w:t>’</w:t>
      </w:r>
      <w:r w:rsidR="00B60430" w:rsidRPr="00DE7A42">
        <w:rPr>
          <w:lang w:val="fr-FR"/>
        </w:rPr>
        <w:t xml:space="preserve">unanimité, </w:t>
      </w:r>
      <w:r w:rsidR="00E77CB3" w:rsidRPr="00DE7A42">
        <w:rPr>
          <w:lang w:val="fr-FR"/>
        </w:rPr>
        <w:t>la demande de satisfaction équitable pour le surplus.</w:t>
      </w:r>
    </w:p>
    <w:p w:rsidR="00E77CB3" w:rsidRPr="00DE7A42" w:rsidRDefault="00E77CB3" w:rsidP="00DE7A42">
      <w:pPr>
        <w:pStyle w:val="JuParaLast"/>
        <w:rPr>
          <w:lang w:val="fr-FR"/>
        </w:rPr>
      </w:pPr>
      <w:r w:rsidRPr="00DE7A42">
        <w:rPr>
          <w:lang w:val="fr-FR"/>
        </w:rPr>
        <w:t>Fait en françai</w:t>
      </w:r>
      <w:r w:rsidR="00DE7A42" w:rsidRPr="00DE7A42">
        <w:rPr>
          <w:lang w:val="fr-FR"/>
        </w:rPr>
        <w:t xml:space="preserve">s, puis communiqué par écrit le </w:t>
      </w:r>
      <w:r w:rsidR="004831D1" w:rsidRPr="00DE7A42">
        <w:rPr>
          <w:lang w:val="fr-FR"/>
        </w:rPr>
        <w:t>16 juin 2016</w:t>
      </w:r>
      <w:r w:rsidRPr="00DE7A42">
        <w:rPr>
          <w:lang w:val="fr-FR"/>
        </w:rPr>
        <w:t>, en application de l</w:t>
      </w:r>
      <w:r w:rsidR="00DE7A42" w:rsidRPr="00DE7A42">
        <w:rPr>
          <w:lang w:val="fr-FR"/>
        </w:rPr>
        <w:t>’</w:t>
      </w:r>
      <w:r w:rsidRPr="00DE7A42">
        <w:rPr>
          <w:lang w:val="fr-FR"/>
        </w:rPr>
        <w:t>article 77 §§ 2 et 3 du règlement</w:t>
      </w:r>
      <w:r w:rsidR="00AC0824" w:rsidRPr="00DE7A42">
        <w:rPr>
          <w:lang w:val="fr-FR"/>
        </w:rPr>
        <w:t xml:space="preserve"> de la Cour</w:t>
      </w:r>
      <w:r w:rsidRPr="00DE7A42">
        <w:rPr>
          <w:lang w:val="fr-FR"/>
        </w:rPr>
        <w:t>.</w:t>
      </w:r>
    </w:p>
    <w:p w:rsidR="00E77CB3" w:rsidRPr="00DE7A42" w:rsidRDefault="004831D1" w:rsidP="00DE7A42">
      <w:pPr>
        <w:pStyle w:val="JuSigned"/>
        <w:tabs>
          <w:tab w:val="clear" w:pos="6407"/>
          <w:tab w:val="center" w:pos="5954"/>
        </w:tabs>
        <w:rPr>
          <w:lang w:val="fr-FR"/>
        </w:rPr>
      </w:pPr>
      <w:r w:rsidRPr="00DE7A42">
        <w:rPr>
          <w:lang w:val="fr-FR"/>
        </w:rPr>
        <w:tab/>
      </w:r>
      <w:r w:rsidR="00E01B03" w:rsidRPr="00DE7A42">
        <w:rPr>
          <w:lang w:val="fr-FR"/>
        </w:rPr>
        <w:t>Abel Campos</w:t>
      </w:r>
      <w:r w:rsidR="00E77CB3" w:rsidRPr="00DE7A42">
        <w:rPr>
          <w:lang w:val="fr-FR"/>
        </w:rPr>
        <w:tab/>
      </w:r>
      <w:r w:rsidR="00B60430" w:rsidRPr="00DE7A42">
        <w:rPr>
          <w:szCs w:val="24"/>
          <w:lang w:val="fr-FR"/>
        </w:rPr>
        <w:t>Mirjana Lazarova Trajkovska</w:t>
      </w:r>
      <w:r w:rsidR="00E77CB3" w:rsidRPr="00DE7A42">
        <w:rPr>
          <w:lang w:val="fr-FR"/>
        </w:rPr>
        <w:br/>
      </w:r>
      <w:r w:rsidR="00E77CB3" w:rsidRPr="00DE7A42">
        <w:rPr>
          <w:lang w:val="fr-FR"/>
        </w:rPr>
        <w:tab/>
      </w:r>
      <w:r w:rsidR="00B60430" w:rsidRPr="00DE7A42">
        <w:rPr>
          <w:lang w:val="fr-FR"/>
        </w:rPr>
        <w:t>Greffier</w:t>
      </w:r>
      <w:r w:rsidR="00E77CB3" w:rsidRPr="00DE7A42">
        <w:rPr>
          <w:lang w:val="fr-FR"/>
        </w:rPr>
        <w:tab/>
      </w:r>
      <w:r w:rsidR="00B60430" w:rsidRPr="00DE7A42">
        <w:rPr>
          <w:lang w:val="fr-FR"/>
        </w:rPr>
        <w:t>Présidente</w:t>
      </w:r>
    </w:p>
    <w:p w:rsidR="004D15F3" w:rsidRPr="00DE7A42" w:rsidRDefault="004D15F3" w:rsidP="00DE7A42">
      <w:pPr>
        <w:pStyle w:val="JuSigned"/>
        <w:rPr>
          <w:lang w:val="fr-FR"/>
        </w:rPr>
      </w:pPr>
    </w:p>
    <w:sectPr w:rsidR="004D15F3" w:rsidRPr="00DE7A42" w:rsidSect="004831D1">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C" w:rsidRPr="0045067D" w:rsidRDefault="007769AC" w:rsidP="00E77CB3">
      <w:pPr>
        <w:rPr>
          <w:lang w:val="fr-FR"/>
        </w:rPr>
      </w:pPr>
      <w:r w:rsidRPr="0045067D">
        <w:rPr>
          <w:lang w:val="fr-FR"/>
        </w:rPr>
        <w:separator/>
      </w:r>
    </w:p>
  </w:endnote>
  <w:endnote w:type="continuationSeparator" w:id="0">
    <w:p w:rsidR="007769AC" w:rsidRPr="0045067D" w:rsidRDefault="007769AC"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Default="00776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Default="00776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Pr="00150BFA" w:rsidRDefault="007769AC" w:rsidP="007769AC">
    <w:pPr>
      <w:jc w:val="center"/>
    </w:pPr>
    <w:r>
      <w:rPr>
        <w:noProof/>
        <w:lang w:eastAsia="ja-JP"/>
      </w:rPr>
      <w:drawing>
        <wp:inline distT="0" distB="0" distL="0" distR="0" wp14:anchorId="56E03E60" wp14:editId="73C5CDF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769AC" w:rsidRDefault="00776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C" w:rsidRPr="0045067D" w:rsidRDefault="007769AC" w:rsidP="00E77CB3">
      <w:pPr>
        <w:rPr>
          <w:lang w:val="fr-FR"/>
        </w:rPr>
      </w:pPr>
      <w:r w:rsidRPr="0045067D">
        <w:rPr>
          <w:lang w:val="fr-FR"/>
        </w:rPr>
        <w:separator/>
      </w:r>
    </w:p>
  </w:footnote>
  <w:footnote w:type="continuationSeparator" w:id="0">
    <w:p w:rsidR="007769AC" w:rsidRPr="0045067D" w:rsidRDefault="007769AC"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Default="00776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Pr="004831D1" w:rsidRDefault="007769AC" w:rsidP="004831D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Pr="00A45145" w:rsidRDefault="007769AC" w:rsidP="007769AC">
    <w:pPr>
      <w:jc w:val="center"/>
    </w:pPr>
    <w:r>
      <w:rPr>
        <w:noProof/>
        <w:lang w:eastAsia="ja-JP"/>
      </w:rPr>
      <w:drawing>
        <wp:inline distT="0" distB="0" distL="0" distR="0" wp14:anchorId="4360E1E8" wp14:editId="76C74CF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769AC" w:rsidRDefault="007769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Pr="00EF0A2E" w:rsidRDefault="007769AC" w:rsidP="00C611D8">
    <w:pPr>
      <w:pStyle w:val="ECHRHeader"/>
    </w:pPr>
    <w:r>
      <w:rPr>
        <w:rStyle w:val="PageNumber"/>
      </w:rPr>
      <w:fldChar w:fldCharType="begin"/>
    </w:r>
    <w:r>
      <w:rPr>
        <w:rStyle w:val="PageNumber"/>
      </w:rPr>
      <w:instrText xml:space="preserve"> PAGE </w:instrText>
    </w:r>
    <w:r>
      <w:rPr>
        <w:rStyle w:val="PageNumber"/>
      </w:rPr>
      <w:fldChar w:fldCharType="separate"/>
    </w:r>
    <w:r w:rsidR="00DE7A42">
      <w:rPr>
        <w:rStyle w:val="PageNumber"/>
        <w:noProof/>
      </w:rPr>
      <w:t>10</w:t>
    </w:r>
    <w:r>
      <w:rPr>
        <w:rStyle w:val="PageNumber"/>
      </w:rPr>
      <w:fldChar w:fldCharType="end"/>
    </w:r>
    <w:r w:rsidRPr="00EF0A2E">
      <w:rPr>
        <w:rStyle w:val="PageNumber"/>
      </w:rPr>
      <w:tab/>
    </w:r>
    <w:r>
      <w:rPr>
        <w:noProof/>
      </w:rPr>
      <w:t>ARRÊT</w:t>
    </w:r>
    <w:r w:rsidRPr="00EF0A2E">
      <w:t xml:space="preserve"> </w:t>
    </w:r>
    <w:r>
      <w:t>FOURKIOTIS c. GRÈCE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C" w:rsidRPr="0045067D" w:rsidRDefault="007769AC" w:rsidP="00C63990">
    <w:pPr>
      <w:pStyle w:val="ECHRHeader"/>
      <w:rPr>
        <w:lang w:val="fr-FR"/>
      </w:rPr>
    </w:pPr>
    <w:r w:rsidRPr="0045067D">
      <w:rPr>
        <w:lang w:val="fr-FR"/>
      </w:rPr>
      <w:tab/>
    </w:r>
    <w:r>
      <w:rPr>
        <w:noProof/>
      </w:rPr>
      <w:t>ARRÊT</w:t>
    </w:r>
    <w:r w:rsidRPr="00EF0A2E">
      <w:t xml:space="preserve"> </w:t>
    </w:r>
    <w:r>
      <w:t>FOURKIOTIS c. GRÈCE</w:t>
    </w:r>
    <w:r w:rsidRPr="00EF0A2E">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DE7A42">
      <w:rPr>
        <w:rStyle w:val="PageNumber"/>
        <w:noProof/>
        <w:lang w:val="fr-FR"/>
      </w:rPr>
      <w:t>11</w:t>
    </w:r>
    <w:r>
      <w:rPr>
        <w:rStyle w:val="PageNumbe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B60430"/>
    <w:rsid w:val="000041F8"/>
    <w:rsid w:val="000042A8"/>
    <w:rsid w:val="00004308"/>
    <w:rsid w:val="00005BF0"/>
    <w:rsid w:val="00007154"/>
    <w:rsid w:val="000103AE"/>
    <w:rsid w:val="00010DF1"/>
    <w:rsid w:val="00011D69"/>
    <w:rsid w:val="00012AD3"/>
    <w:rsid w:val="00015C2D"/>
    <w:rsid w:val="00015F00"/>
    <w:rsid w:val="00022C1D"/>
    <w:rsid w:val="00034987"/>
    <w:rsid w:val="00045DEA"/>
    <w:rsid w:val="000602DF"/>
    <w:rsid w:val="00060C87"/>
    <w:rsid w:val="00061B05"/>
    <w:rsid w:val="0006304D"/>
    <w:rsid w:val="000632D5"/>
    <w:rsid w:val="000644EE"/>
    <w:rsid w:val="00066A71"/>
    <w:rsid w:val="00070294"/>
    <w:rsid w:val="0007278F"/>
    <w:rsid w:val="000925AD"/>
    <w:rsid w:val="000A24EB"/>
    <w:rsid w:val="000A5736"/>
    <w:rsid w:val="000A7C16"/>
    <w:rsid w:val="000B6923"/>
    <w:rsid w:val="000B7562"/>
    <w:rsid w:val="000C5F3C"/>
    <w:rsid w:val="000C6DCC"/>
    <w:rsid w:val="000D1477"/>
    <w:rsid w:val="000D47AA"/>
    <w:rsid w:val="000D721F"/>
    <w:rsid w:val="000D7F62"/>
    <w:rsid w:val="000E069B"/>
    <w:rsid w:val="000E0E82"/>
    <w:rsid w:val="000E1DC5"/>
    <w:rsid w:val="000E223F"/>
    <w:rsid w:val="000E24B6"/>
    <w:rsid w:val="000E7D45"/>
    <w:rsid w:val="000F00EF"/>
    <w:rsid w:val="000F6439"/>
    <w:rsid w:val="000F7851"/>
    <w:rsid w:val="00104E23"/>
    <w:rsid w:val="001069D8"/>
    <w:rsid w:val="00106DBD"/>
    <w:rsid w:val="00111B0C"/>
    <w:rsid w:val="00113990"/>
    <w:rsid w:val="001152E8"/>
    <w:rsid w:val="00117C8E"/>
    <w:rsid w:val="00120D6C"/>
    <w:rsid w:val="00124C47"/>
    <w:rsid w:val="001257EC"/>
    <w:rsid w:val="00127013"/>
    <w:rsid w:val="00127651"/>
    <w:rsid w:val="00133D33"/>
    <w:rsid w:val="00134D64"/>
    <w:rsid w:val="00135A30"/>
    <w:rsid w:val="0013612C"/>
    <w:rsid w:val="00137FF6"/>
    <w:rsid w:val="0014007D"/>
    <w:rsid w:val="00141650"/>
    <w:rsid w:val="00152B21"/>
    <w:rsid w:val="00154F20"/>
    <w:rsid w:val="0016174F"/>
    <w:rsid w:val="00161B4F"/>
    <w:rsid w:val="00161F7F"/>
    <w:rsid w:val="00162A12"/>
    <w:rsid w:val="00166530"/>
    <w:rsid w:val="001725A9"/>
    <w:rsid w:val="001832BD"/>
    <w:rsid w:val="0019022F"/>
    <w:rsid w:val="0019193D"/>
    <w:rsid w:val="001943B5"/>
    <w:rsid w:val="00195134"/>
    <w:rsid w:val="00195572"/>
    <w:rsid w:val="00195F02"/>
    <w:rsid w:val="001A145B"/>
    <w:rsid w:val="001A674C"/>
    <w:rsid w:val="001B3B24"/>
    <w:rsid w:val="001B4D7B"/>
    <w:rsid w:val="001C0F98"/>
    <w:rsid w:val="001C2A42"/>
    <w:rsid w:val="001C3E65"/>
    <w:rsid w:val="001C41FA"/>
    <w:rsid w:val="001D63ED"/>
    <w:rsid w:val="001D6F63"/>
    <w:rsid w:val="001D6FB2"/>
    <w:rsid w:val="001D7348"/>
    <w:rsid w:val="001E035B"/>
    <w:rsid w:val="001E0961"/>
    <w:rsid w:val="001E3C7B"/>
    <w:rsid w:val="001E3EAE"/>
    <w:rsid w:val="001E4497"/>
    <w:rsid w:val="001E6E01"/>
    <w:rsid w:val="001E6F32"/>
    <w:rsid w:val="001F2145"/>
    <w:rsid w:val="001F4E43"/>
    <w:rsid w:val="001F6262"/>
    <w:rsid w:val="001F67B0"/>
    <w:rsid w:val="001F7315"/>
    <w:rsid w:val="001F7B3D"/>
    <w:rsid w:val="002040BE"/>
    <w:rsid w:val="0020444B"/>
    <w:rsid w:val="00204DA4"/>
    <w:rsid w:val="00205F9F"/>
    <w:rsid w:val="00210338"/>
    <w:rsid w:val="002115FC"/>
    <w:rsid w:val="00212F03"/>
    <w:rsid w:val="0021423C"/>
    <w:rsid w:val="00230D00"/>
    <w:rsid w:val="00231DF7"/>
    <w:rsid w:val="00231FD1"/>
    <w:rsid w:val="00232924"/>
    <w:rsid w:val="002339E0"/>
    <w:rsid w:val="00233CF8"/>
    <w:rsid w:val="0023575D"/>
    <w:rsid w:val="00237148"/>
    <w:rsid w:val="00237664"/>
    <w:rsid w:val="002379A3"/>
    <w:rsid w:val="0024222D"/>
    <w:rsid w:val="00244B0E"/>
    <w:rsid w:val="00244F6C"/>
    <w:rsid w:val="002532C5"/>
    <w:rsid w:val="00253500"/>
    <w:rsid w:val="00260C03"/>
    <w:rsid w:val="00264713"/>
    <w:rsid w:val="0026540E"/>
    <w:rsid w:val="00275123"/>
    <w:rsid w:val="00282240"/>
    <w:rsid w:val="002857F0"/>
    <w:rsid w:val="00285B59"/>
    <w:rsid w:val="00291379"/>
    <w:rsid w:val="002948AD"/>
    <w:rsid w:val="00294A3E"/>
    <w:rsid w:val="002A01CC"/>
    <w:rsid w:val="002A61B1"/>
    <w:rsid w:val="002A663C"/>
    <w:rsid w:val="002B444B"/>
    <w:rsid w:val="002B5887"/>
    <w:rsid w:val="002C0E27"/>
    <w:rsid w:val="002C1E00"/>
    <w:rsid w:val="002C20EC"/>
    <w:rsid w:val="002C3040"/>
    <w:rsid w:val="002D022D"/>
    <w:rsid w:val="002D23B6"/>
    <w:rsid w:val="002D24BB"/>
    <w:rsid w:val="002D4C37"/>
    <w:rsid w:val="002E02CB"/>
    <w:rsid w:val="002F2AF7"/>
    <w:rsid w:val="002F7E1C"/>
    <w:rsid w:val="00301575"/>
    <w:rsid w:val="00301A75"/>
    <w:rsid w:val="00302F70"/>
    <w:rsid w:val="0030336F"/>
    <w:rsid w:val="0030375E"/>
    <w:rsid w:val="00312495"/>
    <w:rsid w:val="00312A30"/>
    <w:rsid w:val="00315062"/>
    <w:rsid w:val="00320F72"/>
    <w:rsid w:val="0032463E"/>
    <w:rsid w:val="00326224"/>
    <w:rsid w:val="00330CDE"/>
    <w:rsid w:val="00334FFC"/>
    <w:rsid w:val="00335988"/>
    <w:rsid w:val="00336512"/>
    <w:rsid w:val="003377BA"/>
    <w:rsid w:val="00337EE4"/>
    <w:rsid w:val="00340FFD"/>
    <w:rsid w:val="00341CC9"/>
    <w:rsid w:val="003506B1"/>
    <w:rsid w:val="00354F8C"/>
    <w:rsid w:val="00356AC7"/>
    <w:rsid w:val="003609FA"/>
    <w:rsid w:val="003658D2"/>
    <w:rsid w:val="003710C8"/>
    <w:rsid w:val="003750BE"/>
    <w:rsid w:val="003815CF"/>
    <w:rsid w:val="003839F7"/>
    <w:rsid w:val="003845E7"/>
    <w:rsid w:val="00387B9D"/>
    <w:rsid w:val="00392D62"/>
    <w:rsid w:val="0039364F"/>
    <w:rsid w:val="00396686"/>
    <w:rsid w:val="0039778E"/>
    <w:rsid w:val="003B2814"/>
    <w:rsid w:val="003B4941"/>
    <w:rsid w:val="003B5DE1"/>
    <w:rsid w:val="003B6BE0"/>
    <w:rsid w:val="003C5714"/>
    <w:rsid w:val="003C6B9F"/>
    <w:rsid w:val="003C6E2A"/>
    <w:rsid w:val="003D0299"/>
    <w:rsid w:val="003E6D80"/>
    <w:rsid w:val="003F05FA"/>
    <w:rsid w:val="003F244A"/>
    <w:rsid w:val="003F30B8"/>
    <w:rsid w:val="003F4C45"/>
    <w:rsid w:val="003F5F7B"/>
    <w:rsid w:val="003F7D64"/>
    <w:rsid w:val="00414300"/>
    <w:rsid w:val="004147EA"/>
    <w:rsid w:val="00425C67"/>
    <w:rsid w:val="00427E7A"/>
    <w:rsid w:val="00432E4E"/>
    <w:rsid w:val="00434EC4"/>
    <w:rsid w:val="00436C49"/>
    <w:rsid w:val="00445366"/>
    <w:rsid w:val="00447F5B"/>
    <w:rsid w:val="0045067D"/>
    <w:rsid w:val="00461DB0"/>
    <w:rsid w:val="00463926"/>
    <w:rsid w:val="00464C9A"/>
    <w:rsid w:val="00473BF2"/>
    <w:rsid w:val="004741F5"/>
    <w:rsid w:val="00474F3D"/>
    <w:rsid w:val="00477E3A"/>
    <w:rsid w:val="00482C12"/>
    <w:rsid w:val="004831D1"/>
    <w:rsid w:val="00483E5F"/>
    <w:rsid w:val="00485FF9"/>
    <w:rsid w:val="004907F0"/>
    <w:rsid w:val="0049140B"/>
    <w:rsid w:val="004923A5"/>
    <w:rsid w:val="00496BFB"/>
    <w:rsid w:val="004A15C7"/>
    <w:rsid w:val="004A297C"/>
    <w:rsid w:val="004A2BE6"/>
    <w:rsid w:val="004B013B"/>
    <w:rsid w:val="004B112B"/>
    <w:rsid w:val="004B1EC8"/>
    <w:rsid w:val="004B45D8"/>
    <w:rsid w:val="004C01E4"/>
    <w:rsid w:val="004C086C"/>
    <w:rsid w:val="004C1F56"/>
    <w:rsid w:val="004C27BC"/>
    <w:rsid w:val="004C3013"/>
    <w:rsid w:val="004D15F3"/>
    <w:rsid w:val="004D5311"/>
    <w:rsid w:val="004D5DCC"/>
    <w:rsid w:val="004E27FC"/>
    <w:rsid w:val="004E2901"/>
    <w:rsid w:val="004E48B5"/>
    <w:rsid w:val="004F10AF"/>
    <w:rsid w:val="004F11A4"/>
    <w:rsid w:val="004F2389"/>
    <w:rsid w:val="004F2979"/>
    <w:rsid w:val="004F304D"/>
    <w:rsid w:val="004F61BE"/>
    <w:rsid w:val="004F66B1"/>
    <w:rsid w:val="0050095C"/>
    <w:rsid w:val="00511C07"/>
    <w:rsid w:val="00512F5E"/>
    <w:rsid w:val="005173A6"/>
    <w:rsid w:val="00520BAA"/>
    <w:rsid w:val="00522228"/>
    <w:rsid w:val="00525208"/>
    <w:rsid w:val="0052540B"/>
    <w:rsid w:val="005257A5"/>
    <w:rsid w:val="005264C0"/>
    <w:rsid w:val="00526A8A"/>
    <w:rsid w:val="00531DF2"/>
    <w:rsid w:val="005427CB"/>
    <w:rsid w:val="005442EE"/>
    <w:rsid w:val="00547353"/>
    <w:rsid w:val="005474E7"/>
    <w:rsid w:val="0055035B"/>
    <w:rsid w:val="005512A3"/>
    <w:rsid w:val="005578CE"/>
    <w:rsid w:val="00560D1B"/>
    <w:rsid w:val="00562781"/>
    <w:rsid w:val="0056320D"/>
    <w:rsid w:val="0057271C"/>
    <w:rsid w:val="00572845"/>
    <w:rsid w:val="00574C83"/>
    <w:rsid w:val="00591F6B"/>
    <w:rsid w:val="00591FA0"/>
    <w:rsid w:val="00592772"/>
    <w:rsid w:val="005934D2"/>
    <w:rsid w:val="00594BA7"/>
    <w:rsid w:val="0059574A"/>
    <w:rsid w:val="00596468"/>
    <w:rsid w:val="005A02CB"/>
    <w:rsid w:val="005A1B9B"/>
    <w:rsid w:val="005A6751"/>
    <w:rsid w:val="005B092E"/>
    <w:rsid w:val="005B152C"/>
    <w:rsid w:val="005B1EE0"/>
    <w:rsid w:val="005B2B24"/>
    <w:rsid w:val="005B2CB9"/>
    <w:rsid w:val="005B420A"/>
    <w:rsid w:val="005B4425"/>
    <w:rsid w:val="005B4B94"/>
    <w:rsid w:val="005C07B3"/>
    <w:rsid w:val="005C0897"/>
    <w:rsid w:val="005C3EE8"/>
    <w:rsid w:val="005D34F9"/>
    <w:rsid w:val="005D4190"/>
    <w:rsid w:val="005D5A3E"/>
    <w:rsid w:val="005D67A3"/>
    <w:rsid w:val="005E2988"/>
    <w:rsid w:val="005E3085"/>
    <w:rsid w:val="005E37C6"/>
    <w:rsid w:val="005F51E1"/>
    <w:rsid w:val="005F68C3"/>
    <w:rsid w:val="005F74EA"/>
    <w:rsid w:val="00605838"/>
    <w:rsid w:val="00611C80"/>
    <w:rsid w:val="006165C0"/>
    <w:rsid w:val="00620692"/>
    <w:rsid w:val="006242CA"/>
    <w:rsid w:val="0062594E"/>
    <w:rsid w:val="00627507"/>
    <w:rsid w:val="00631ECA"/>
    <w:rsid w:val="00633717"/>
    <w:rsid w:val="006344E1"/>
    <w:rsid w:val="00642272"/>
    <w:rsid w:val="00647B4F"/>
    <w:rsid w:val="0065298D"/>
    <w:rsid w:val="006545C4"/>
    <w:rsid w:val="00661971"/>
    <w:rsid w:val="00661CE8"/>
    <w:rsid w:val="006623D9"/>
    <w:rsid w:val="0066550C"/>
    <w:rsid w:val="006659CA"/>
    <w:rsid w:val="00667B26"/>
    <w:rsid w:val="006716F2"/>
    <w:rsid w:val="00673104"/>
    <w:rsid w:val="00682BF2"/>
    <w:rsid w:val="006859CE"/>
    <w:rsid w:val="00691270"/>
    <w:rsid w:val="006920F1"/>
    <w:rsid w:val="00694A2E"/>
    <w:rsid w:val="00694BA8"/>
    <w:rsid w:val="00695450"/>
    <w:rsid w:val="006958BD"/>
    <w:rsid w:val="006A037C"/>
    <w:rsid w:val="006A36F4"/>
    <w:rsid w:val="006A406F"/>
    <w:rsid w:val="006A5D3A"/>
    <w:rsid w:val="006B3F18"/>
    <w:rsid w:val="006B6976"/>
    <w:rsid w:val="006C1BCB"/>
    <w:rsid w:val="006C23D4"/>
    <w:rsid w:val="006C554D"/>
    <w:rsid w:val="006C64BE"/>
    <w:rsid w:val="006C7BB0"/>
    <w:rsid w:val="006D3237"/>
    <w:rsid w:val="006E2E37"/>
    <w:rsid w:val="006E3CF1"/>
    <w:rsid w:val="006E7E80"/>
    <w:rsid w:val="006F48CA"/>
    <w:rsid w:val="006F58CF"/>
    <w:rsid w:val="006F64DD"/>
    <w:rsid w:val="00705C08"/>
    <w:rsid w:val="00705EEA"/>
    <w:rsid w:val="00711B9F"/>
    <w:rsid w:val="00712911"/>
    <w:rsid w:val="00715127"/>
    <w:rsid w:val="00715E8E"/>
    <w:rsid w:val="0071614D"/>
    <w:rsid w:val="00723580"/>
    <w:rsid w:val="00723755"/>
    <w:rsid w:val="0073136C"/>
    <w:rsid w:val="00731F0F"/>
    <w:rsid w:val="00733250"/>
    <w:rsid w:val="00733D59"/>
    <w:rsid w:val="00736479"/>
    <w:rsid w:val="00737AB2"/>
    <w:rsid w:val="00741404"/>
    <w:rsid w:val="007449E5"/>
    <w:rsid w:val="00747FF0"/>
    <w:rsid w:val="007560C4"/>
    <w:rsid w:val="00764D4E"/>
    <w:rsid w:val="00765A1F"/>
    <w:rsid w:val="00772EB5"/>
    <w:rsid w:val="00775B6D"/>
    <w:rsid w:val="007769AC"/>
    <w:rsid w:val="00776D68"/>
    <w:rsid w:val="007774F4"/>
    <w:rsid w:val="007850EE"/>
    <w:rsid w:val="00785B95"/>
    <w:rsid w:val="00790E96"/>
    <w:rsid w:val="007931EB"/>
    <w:rsid w:val="00793366"/>
    <w:rsid w:val="007952DA"/>
    <w:rsid w:val="00795FAE"/>
    <w:rsid w:val="007A30CE"/>
    <w:rsid w:val="007A716F"/>
    <w:rsid w:val="007B270A"/>
    <w:rsid w:val="007B3CE3"/>
    <w:rsid w:val="007B4B56"/>
    <w:rsid w:val="007C0695"/>
    <w:rsid w:val="007C419A"/>
    <w:rsid w:val="007C4CC8"/>
    <w:rsid w:val="007C4F06"/>
    <w:rsid w:val="007C5426"/>
    <w:rsid w:val="007C5798"/>
    <w:rsid w:val="007D1584"/>
    <w:rsid w:val="007D4832"/>
    <w:rsid w:val="007D56A8"/>
    <w:rsid w:val="007E21B2"/>
    <w:rsid w:val="007E2C4E"/>
    <w:rsid w:val="007E3ED4"/>
    <w:rsid w:val="007E48C2"/>
    <w:rsid w:val="007F1905"/>
    <w:rsid w:val="00801300"/>
    <w:rsid w:val="008018D4"/>
    <w:rsid w:val="00802C64"/>
    <w:rsid w:val="00805D12"/>
    <w:rsid w:val="00805E52"/>
    <w:rsid w:val="008061D0"/>
    <w:rsid w:val="00806C40"/>
    <w:rsid w:val="00810B38"/>
    <w:rsid w:val="008204C7"/>
    <w:rsid w:val="00820992"/>
    <w:rsid w:val="00823602"/>
    <w:rsid w:val="00823FB8"/>
    <w:rsid w:val="008255F5"/>
    <w:rsid w:val="0083014E"/>
    <w:rsid w:val="0083214A"/>
    <w:rsid w:val="00834220"/>
    <w:rsid w:val="0084351A"/>
    <w:rsid w:val="00845723"/>
    <w:rsid w:val="008457D9"/>
    <w:rsid w:val="00851EF9"/>
    <w:rsid w:val="008577FD"/>
    <w:rsid w:val="00860B03"/>
    <w:rsid w:val="0086497A"/>
    <w:rsid w:val="008713A1"/>
    <w:rsid w:val="00873633"/>
    <w:rsid w:val="008754AB"/>
    <w:rsid w:val="00875AB3"/>
    <w:rsid w:val="0088060C"/>
    <w:rsid w:val="00886AF9"/>
    <w:rsid w:val="00893576"/>
    <w:rsid w:val="00893E73"/>
    <w:rsid w:val="008A1149"/>
    <w:rsid w:val="008B02DC"/>
    <w:rsid w:val="008B1621"/>
    <w:rsid w:val="008B57CE"/>
    <w:rsid w:val="008B6ED5"/>
    <w:rsid w:val="008C26DE"/>
    <w:rsid w:val="008D2225"/>
    <w:rsid w:val="008D4752"/>
    <w:rsid w:val="008D7298"/>
    <w:rsid w:val="008E271C"/>
    <w:rsid w:val="008E418E"/>
    <w:rsid w:val="008E5BC6"/>
    <w:rsid w:val="008E6A25"/>
    <w:rsid w:val="008F2DD2"/>
    <w:rsid w:val="008F5193"/>
    <w:rsid w:val="008F58B5"/>
    <w:rsid w:val="008F5ACB"/>
    <w:rsid w:val="009013A7"/>
    <w:rsid w:val="009017FB"/>
    <w:rsid w:val="009017FC"/>
    <w:rsid w:val="00903FB5"/>
    <w:rsid w:val="0090506B"/>
    <w:rsid w:val="009050C9"/>
    <w:rsid w:val="009066FC"/>
    <w:rsid w:val="009140A3"/>
    <w:rsid w:val="009144A2"/>
    <w:rsid w:val="00915018"/>
    <w:rsid w:val="0091510C"/>
    <w:rsid w:val="00923310"/>
    <w:rsid w:val="009259AC"/>
    <w:rsid w:val="00926AD5"/>
    <w:rsid w:val="00926F38"/>
    <w:rsid w:val="00931858"/>
    <w:rsid w:val="00932DD6"/>
    <w:rsid w:val="00934301"/>
    <w:rsid w:val="00936C2D"/>
    <w:rsid w:val="00936CD1"/>
    <w:rsid w:val="00941747"/>
    <w:rsid w:val="00941EFB"/>
    <w:rsid w:val="00947276"/>
    <w:rsid w:val="00947AFB"/>
    <w:rsid w:val="00951D7D"/>
    <w:rsid w:val="009630C7"/>
    <w:rsid w:val="00972B55"/>
    <w:rsid w:val="009743B7"/>
    <w:rsid w:val="0097465F"/>
    <w:rsid w:val="0098228B"/>
    <w:rsid w:val="009828DA"/>
    <w:rsid w:val="00985BAB"/>
    <w:rsid w:val="0099198B"/>
    <w:rsid w:val="00996036"/>
    <w:rsid w:val="009B1B5F"/>
    <w:rsid w:val="009B6673"/>
    <w:rsid w:val="009B7809"/>
    <w:rsid w:val="009C191B"/>
    <w:rsid w:val="009C2BD6"/>
    <w:rsid w:val="009D4EAB"/>
    <w:rsid w:val="009D5E02"/>
    <w:rsid w:val="009D7EC0"/>
    <w:rsid w:val="009E1F32"/>
    <w:rsid w:val="009E1F9F"/>
    <w:rsid w:val="009E776C"/>
    <w:rsid w:val="009F5AC6"/>
    <w:rsid w:val="00A00144"/>
    <w:rsid w:val="00A00D78"/>
    <w:rsid w:val="00A05853"/>
    <w:rsid w:val="00A12556"/>
    <w:rsid w:val="00A13556"/>
    <w:rsid w:val="00A15AB1"/>
    <w:rsid w:val="00A1726E"/>
    <w:rsid w:val="00A204CF"/>
    <w:rsid w:val="00A22C47"/>
    <w:rsid w:val="00A23D49"/>
    <w:rsid w:val="00A27004"/>
    <w:rsid w:val="00A270F1"/>
    <w:rsid w:val="00A3058F"/>
    <w:rsid w:val="00A30C29"/>
    <w:rsid w:val="00A34DD6"/>
    <w:rsid w:val="00A359D6"/>
    <w:rsid w:val="00A36819"/>
    <w:rsid w:val="00A36989"/>
    <w:rsid w:val="00A43308"/>
    <w:rsid w:val="00A43628"/>
    <w:rsid w:val="00A44227"/>
    <w:rsid w:val="00A51CD3"/>
    <w:rsid w:val="00A54192"/>
    <w:rsid w:val="00A54C3D"/>
    <w:rsid w:val="00A6035E"/>
    <w:rsid w:val="00A6144C"/>
    <w:rsid w:val="00A63275"/>
    <w:rsid w:val="00A66617"/>
    <w:rsid w:val="00A671F8"/>
    <w:rsid w:val="00A673A4"/>
    <w:rsid w:val="00A67531"/>
    <w:rsid w:val="00A724AE"/>
    <w:rsid w:val="00A73329"/>
    <w:rsid w:val="00A74BC1"/>
    <w:rsid w:val="00A82359"/>
    <w:rsid w:val="00A860CA"/>
    <w:rsid w:val="00A865D2"/>
    <w:rsid w:val="00A9196D"/>
    <w:rsid w:val="00A94C20"/>
    <w:rsid w:val="00AA227F"/>
    <w:rsid w:val="00AA3BC7"/>
    <w:rsid w:val="00AA754A"/>
    <w:rsid w:val="00AB099E"/>
    <w:rsid w:val="00AB4328"/>
    <w:rsid w:val="00AC0824"/>
    <w:rsid w:val="00AC0877"/>
    <w:rsid w:val="00AC27D4"/>
    <w:rsid w:val="00AC4EBF"/>
    <w:rsid w:val="00AC523F"/>
    <w:rsid w:val="00AC77CB"/>
    <w:rsid w:val="00AD412E"/>
    <w:rsid w:val="00AD4AD8"/>
    <w:rsid w:val="00AD6DA8"/>
    <w:rsid w:val="00AE0A2E"/>
    <w:rsid w:val="00AE1889"/>
    <w:rsid w:val="00AE354C"/>
    <w:rsid w:val="00AE5708"/>
    <w:rsid w:val="00AE680A"/>
    <w:rsid w:val="00AE70C6"/>
    <w:rsid w:val="00AF4B07"/>
    <w:rsid w:val="00AF5CC8"/>
    <w:rsid w:val="00AF6186"/>
    <w:rsid w:val="00AF7A3A"/>
    <w:rsid w:val="00B013CE"/>
    <w:rsid w:val="00B03282"/>
    <w:rsid w:val="00B10A63"/>
    <w:rsid w:val="00B112E2"/>
    <w:rsid w:val="00B160DB"/>
    <w:rsid w:val="00B20836"/>
    <w:rsid w:val="00B235BB"/>
    <w:rsid w:val="00B245B6"/>
    <w:rsid w:val="00B27A44"/>
    <w:rsid w:val="00B30BBF"/>
    <w:rsid w:val="00B33C03"/>
    <w:rsid w:val="00B44E56"/>
    <w:rsid w:val="00B46543"/>
    <w:rsid w:val="00B46A72"/>
    <w:rsid w:val="00B47D33"/>
    <w:rsid w:val="00B51136"/>
    <w:rsid w:val="00B5225E"/>
    <w:rsid w:val="00B52BE0"/>
    <w:rsid w:val="00B54133"/>
    <w:rsid w:val="00B60430"/>
    <w:rsid w:val="00B63300"/>
    <w:rsid w:val="00B701ED"/>
    <w:rsid w:val="00B709DA"/>
    <w:rsid w:val="00B73B02"/>
    <w:rsid w:val="00B80263"/>
    <w:rsid w:val="00B8086C"/>
    <w:rsid w:val="00B82450"/>
    <w:rsid w:val="00B84916"/>
    <w:rsid w:val="00B861B4"/>
    <w:rsid w:val="00B8664B"/>
    <w:rsid w:val="00B86DFE"/>
    <w:rsid w:val="00B90990"/>
    <w:rsid w:val="00B922FF"/>
    <w:rsid w:val="00B9281E"/>
    <w:rsid w:val="00B93925"/>
    <w:rsid w:val="00B93ECF"/>
    <w:rsid w:val="00B95187"/>
    <w:rsid w:val="00B9776F"/>
    <w:rsid w:val="00BA2D55"/>
    <w:rsid w:val="00BA71B1"/>
    <w:rsid w:val="00BB0637"/>
    <w:rsid w:val="00BB345F"/>
    <w:rsid w:val="00BB3BB3"/>
    <w:rsid w:val="00BB68EA"/>
    <w:rsid w:val="00BC1C27"/>
    <w:rsid w:val="00BC4A8F"/>
    <w:rsid w:val="00BC697E"/>
    <w:rsid w:val="00BC6BBF"/>
    <w:rsid w:val="00BD10B7"/>
    <w:rsid w:val="00BD1572"/>
    <w:rsid w:val="00BD75BA"/>
    <w:rsid w:val="00BE14E3"/>
    <w:rsid w:val="00BE24CD"/>
    <w:rsid w:val="00BE3774"/>
    <w:rsid w:val="00BE41E5"/>
    <w:rsid w:val="00BF4109"/>
    <w:rsid w:val="00BF4993"/>
    <w:rsid w:val="00BF4CC3"/>
    <w:rsid w:val="00BF4D32"/>
    <w:rsid w:val="00C03BF6"/>
    <w:rsid w:val="00C054C7"/>
    <w:rsid w:val="00C057B5"/>
    <w:rsid w:val="00C06E15"/>
    <w:rsid w:val="00C1262B"/>
    <w:rsid w:val="00C21F35"/>
    <w:rsid w:val="00C22687"/>
    <w:rsid w:val="00C32E4D"/>
    <w:rsid w:val="00C333A0"/>
    <w:rsid w:val="00C36408"/>
    <w:rsid w:val="00C36A81"/>
    <w:rsid w:val="00C41974"/>
    <w:rsid w:val="00C53F4A"/>
    <w:rsid w:val="00C54125"/>
    <w:rsid w:val="00C54E34"/>
    <w:rsid w:val="00C55B54"/>
    <w:rsid w:val="00C56FCE"/>
    <w:rsid w:val="00C60288"/>
    <w:rsid w:val="00C6098E"/>
    <w:rsid w:val="00C611D8"/>
    <w:rsid w:val="00C6152C"/>
    <w:rsid w:val="00C63990"/>
    <w:rsid w:val="00C64B9E"/>
    <w:rsid w:val="00C64EF6"/>
    <w:rsid w:val="00C65050"/>
    <w:rsid w:val="00C67497"/>
    <w:rsid w:val="00C74810"/>
    <w:rsid w:val="00C76046"/>
    <w:rsid w:val="00C90D68"/>
    <w:rsid w:val="00C91108"/>
    <w:rsid w:val="00C939FE"/>
    <w:rsid w:val="00CA1504"/>
    <w:rsid w:val="00CA4BDA"/>
    <w:rsid w:val="00CB1F66"/>
    <w:rsid w:val="00CB2951"/>
    <w:rsid w:val="00CB400E"/>
    <w:rsid w:val="00CC3FE5"/>
    <w:rsid w:val="00CC71E6"/>
    <w:rsid w:val="00CD282B"/>
    <w:rsid w:val="00CD4C35"/>
    <w:rsid w:val="00CD7369"/>
    <w:rsid w:val="00CE0B0E"/>
    <w:rsid w:val="00CE19D4"/>
    <w:rsid w:val="00CE2746"/>
    <w:rsid w:val="00CE3831"/>
    <w:rsid w:val="00CE3BC7"/>
    <w:rsid w:val="00CF322C"/>
    <w:rsid w:val="00D00ABB"/>
    <w:rsid w:val="00D02EEC"/>
    <w:rsid w:val="00D03551"/>
    <w:rsid w:val="00D06A63"/>
    <w:rsid w:val="00D07E0E"/>
    <w:rsid w:val="00D11478"/>
    <w:rsid w:val="00D15ED0"/>
    <w:rsid w:val="00D21B3E"/>
    <w:rsid w:val="00D21FED"/>
    <w:rsid w:val="00D24251"/>
    <w:rsid w:val="00D250D7"/>
    <w:rsid w:val="00D27B06"/>
    <w:rsid w:val="00D343E2"/>
    <w:rsid w:val="00D34BBA"/>
    <w:rsid w:val="00D3523C"/>
    <w:rsid w:val="00D361A2"/>
    <w:rsid w:val="00D37C1F"/>
    <w:rsid w:val="00D42AFF"/>
    <w:rsid w:val="00D446AC"/>
    <w:rsid w:val="00D44C2E"/>
    <w:rsid w:val="00D45414"/>
    <w:rsid w:val="00D566BD"/>
    <w:rsid w:val="00D576CF"/>
    <w:rsid w:val="00D57A4D"/>
    <w:rsid w:val="00D60AA7"/>
    <w:rsid w:val="00D6435F"/>
    <w:rsid w:val="00D725BB"/>
    <w:rsid w:val="00D73886"/>
    <w:rsid w:val="00D75E28"/>
    <w:rsid w:val="00D772C2"/>
    <w:rsid w:val="00D8008E"/>
    <w:rsid w:val="00D82C45"/>
    <w:rsid w:val="00D83277"/>
    <w:rsid w:val="00D833D1"/>
    <w:rsid w:val="00D908A8"/>
    <w:rsid w:val="00D977B6"/>
    <w:rsid w:val="00D97C5C"/>
    <w:rsid w:val="00DA4A31"/>
    <w:rsid w:val="00DA7805"/>
    <w:rsid w:val="00DA7B04"/>
    <w:rsid w:val="00DB08C5"/>
    <w:rsid w:val="00DB36C2"/>
    <w:rsid w:val="00DC169B"/>
    <w:rsid w:val="00DC2AB9"/>
    <w:rsid w:val="00DC63F0"/>
    <w:rsid w:val="00DD301A"/>
    <w:rsid w:val="00DD4AAB"/>
    <w:rsid w:val="00DD4BF3"/>
    <w:rsid w:val="00DD5146"/>
    <w:rsid w:val="00DD6EE5"/>
    <w:rsid w:val="00DE386C"/>
    <w:rsid w:val="00DE4D35"/>
    <w:rsid w:val="00DE7A42"/>
    <w:rsid w:val="00DF098B"/>
    <w:rsid w:val="00DF11C4"/>
    <w:rsid w:val="00DF1600"/>
    <w:rsid w:val="00DF1924"/>
    <w:rsid w:val="00DF210C"/>
    <w:rsid w:val="00DF4B6A"/>
    <w:rsid w:val="00E01B03"/>
    <w:rsid w:val="00E01E65"/>
    <w:rsid w:val="00E02AAC"/>
    <w:rsid w:val="00E02C09"/>
    <w:rsid w:val="00E03867"/>
    <w:rsid w:val="00E04D59"/>
    <w:rsid w:val="00E07DA1"/>
    <w:rsid w:val="00E123CB"/>
    <w:rsid w:val="00E14293"/>
    <w:rsid w:val="00E20E13"/>
    <w:rsid w:val="00E21DBC"/>
    <w:rsid w:val="00E256D8"/>
    <w:rsid w:val="00E25D3E"/>
    <w:rsid w:val="00E275D7"/>
    <w:rsid w:val="00E27DBE"/>
    <w:rsid w:val="00E309BC"/>
    <w:rsid w:val="00E32AB1"/>
    <w:rsid w:val="00E32F1F"/>
    <w:rsid w:val="00E36C71"/>
    <w:rsid w:val="00E40404"/>
    <w:rsid w:val="00E40595"/>
    <w:rsid w:val="00E407FD"/>
    <w:rsid w:val="00E41BA5"/>
    <w:rsid w:val="00E4529A"/>
    <w:rsid w:val="00E459C6"/>
    <w:rsid w:val="00E47589"/>
    <w:rsid w:val="00E60B76"/>
    <w:rsid w:val="00E62CE4"/>
    <w:rsid w:val="00E64915"/>
    <w:rsid w:val="00E65506"/>
    <w:rsid w:val="00E661D4"/>
    <w:rsid w:val="00E70091"/>
    <w:rsid w:val="00E720F5"/>
    <w:rsid w:val="00E76D47"/>
    <w:rsid w:val="00E77CB3"/>
    <w:rsid w:val="00E849F7"/>
    <w:rsid w:val="00E90302"/>
    <w:rsid w:val="00E97396"/>
    <w:rsid w:val="00EA185E"/>
    <w:rsid w:val="00EA592A"/>
    <w:rsid w:val="00EA72C7"/>
    <w:rsid w:val="00EB14E4"/>
    <w:rsid w:val="00EB32A5"/>
    <w:rsid w:val="00EB34ED"/>
    <w:rsid w:val="00EB7BE0"/>
    <w:rsid w:val="00EB7E63"/>
    <w:rsid w:val="00EC315E"/>
    <w:rsid w:val="00EC5FF4"/>
    <w:rsid w:val="00ED077C"/>
    <w:rsid w:val="00ED1190"/>
    <w:rsid w:val="00ED2E7E"/>
    <w:rsid w:val="00ED5EF4"/>
    <w:rsid w:val="00ED6544"/>
    <w:rsid w:val="00EE00EB"/>
    <w:rsid w:val="00EE0277"/>
    <w:rsid w:val="00EE3E00"/>
    <w:rsid w:val="00EE5DD2"/>
    <w:rsid w:val="00EF0A2E"/>
    <w:rsid w:val="00EF38B9"/>
    <w:rsid w:val="00EF609F"/>
    <w:rsid w:val="00EF63C2"/>
    <w:rsid w:val="00F00A79"/>
    <w:rsid w:val="00F00E86"/>
    <w:rsid w:val="00F07C1E"/>
    <w:rsid w:val="00F105DB"/>
    <w:rsid w:val="00F132BC"/>
    <w:rsid w:val="00F13D80"/>
    <w:rsid w:val="00F16AAA"/>
    <w:rsid w:val="00F21161"/>
    <w:rsid w:val="00F218EF"/>
    <w:rsid w:val="00F21BC7"/>
    <w:rsid w:val="00F266A2"/>
    <w:rsid w:val="00F32269"/>
    <w:rsid w:val="00F345C8"/>
    <w:rsid w:val="00F46139"/>
    <w:rsid w:val="00F56A6F"/>
    <w:rsid w:val="00F5709C"/>
    <w:rsid w:val="00F64EF1"/>
    <w:rsid w:val="00F670F9"/>
    <w:rsid w:val="00F83833"/>
    <w:rsid w:val="00F8765F"/>
    <w:rsid w:val="00F90767"/>
    <w:rsid w:val="00FA685B"/>
    <w:rsid w:val="00FB0C01"/>
    <w:rsid w:val="00FB2B45"/>
    <w:rsid w:val="00FB39A8"/>
    <w:rsid w:val="00FC18F2"/>
    <w:rsid w:val="00FC2435"/>
    <w:rsid w:val="00FC39E5"/>
    <w:rsid w:val="00FC3A78"/>
    <w:rsid w:val="00FD0A5D"/>
    <w:rsid w:val="00FD1005"/>
    <w:rsid w:val="00FD6C75"/>
    <w:rsid w:val="00FE02A1"/>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769AC"/>
    <w:pPr>
      <w:jc w:val="both"/>
    </w:pPr>
    <w:rPr>
      <w:rFonts w:eastAsiaTheme="minorEastAsia"/>
      <w:sz w:val="24"/>
    </w:rPr>
  </w:style>
  <w:style w:type="paragraph" w:styleId="Heading1">
    <w:name w:val="heading 1"/>
    <w:basedOn w:val="Normal"/>
    <w:next w:val="Normal"/>
    <w:link w:val="Heading1Char"/>
    <w:uiPriority w:val="99"/>
    <w:semiHidden/>
    <w:rsid w:val="007769A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769A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769A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769A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769AC"/>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769A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769AC"/>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769A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769A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9AC"/>
    <w:rPr>
      <w:rFonts w:ascii="Tahoma" w:hAnsi="Tahoma" w:cs="Tahoma"/>
      <w:sz w:val="16"/>
      <w:szCs w:val="16"/>
    </w:rPr>
  </w:style>
  <w:style w:type="character" w:customStyle="1" w:styleId="BalloonTextChar">
    <w:name w:val="Balloon Text Char"/>
    <w:basedOn w:val="DefaultParagraphFont"/>
    <w:link w:val="BalloonText"/>
    <w:uiPriority w:val="99"/>
    <w:semiHidden/>
    <w:rsid w:val="007769AC"/>
    <w:rPr>
      <w:rFonts w:ascii="Tahoma" w:eastAsiaTheme="minorEastAsia" w:hAnsi="Tahoma" w:cs="Tahoma"/>
      <w:sz w:val="16"/>
      <w:szCs w:val="16"/>
    </w:rPr>
  </w:style>
  <w:style w:type="character" w:styleId="BookTitle">
    <w:name w:val="Book Title"/>
    <w:uiPriority w:val="99"/>
    <w:semiHidden/>
    <w:qFormat/>
    <w:rsid w:val="007769AC"/>
    <w:rPr>
      <w:i/>
      <w:iCs/>
      <w:smallCaps/>
      <w:spacing w:val="5"/>
    </w:rPr>
  </w:style>
  <w:style w:type="paragraph" w:customStyle="1" w:styleId="ECHRHeader">
    <w:name w:val="ECHR_Header"/>
    <w:aliases w:val="Ju_Header"/>
    <w:basedOn w:val="Header"/>
    <w:uiPriority w:val="4"/>
    <w:qFormat/>
    <w:rsid w:val="007769A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769AC"/>
    <w:pPr>
      <w:jc w:val="left"/>
    </w:pPr>
    <w:rPr>
      <w:sz w:val="8"/>
    </w:rPr>
  </w:style>
  <w:style w:type="character" w:styleId="Strong">
    <w:name w:val="Strong"/>
    <w:uiPriority w:val="99"/>
    <w:semiHidden/>
    <w:qFormat/>
    <w:rsid w:val="007769AC"/>
    <w:rPr>
      <w:b/>
      <w:bCs/>
    </w:rPr>
  </w:style>
  <w:style w:type="paragraph" w:styleId="NoSpacing">
    <w:name w:val="No Spacing"/>
    <w:basedOn w:val="Normal"/>
    <w:link w:val="NoSpacingChar"/>
    <w:semiHidden/>
    <w:qFormat/>
    <w:rsid w:val="007769AC"/>
    <w:rPr>
      <w:sz w:val="22"/>
    </w:rPr>
  </w:style>
  <w:style w:type="character" w:customStyle="1" w:styleId="NoSpacingChar">
    <w:name w:val="No Spacing Char"/>
    <w:basedOn w:val="DefaultParagraphFont"/>
    <w:link w:val="NoSpacing"/>
    <w:semiHidden/>
    <w:rsid w:val="007769AC"/>
    <w:rPr>
      <w:rFonts w:eastAsiaTheme="minorEastAsia"/>
    </w:rPr>
  </w:style>
  <w:style w:type="paragraph" w:customStyle="1" w:styleId="ECHRFooterLine">
    <w:name w:val="ECHR_Footer_Line"/>
    <w:aliases w:val="Footer_Line"/>
    <w:basedOn w:val="Normal"/>
    <w:next w:val="ECHRFooter"/>
    <w:uiPriority w:val="57"/>
    <w:semiHidden/>
    <w:rsid w:val="007769A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7769AC"/>
    <w:pPr>
      <w:numPr>
        <w:numId w:val="16"/>
      </w:numPr>
      <w:jc w:val="left"/>
    </w:pPr>
    <w:rPr>
      <w:b/>
    </w:rPr>
  </w:style>
  <w:style w:type="paragraph" w:customStyle="1" w:styleId="OpiPara">
    <w:name w:val="Opi_Para"/>
    <w:basedOn w:val="ECHRPara"/>
    <w:uiPriority w:val="46"/>
    <w:qFormat/>
    <w:rsid w:val="007769AC"/>
  </w:style>
  <w:style w:type="paragraph" w:customStyle="1" w:styleId="JuParaSub">
    <w:name w:val="Ju_Para_Sub"/>
    <w:basedOn w:val="ECHRPara"/>
    <w:uiPriority w:val="13"/>
    <w:qFormat/>
    <w:rsid w:val="007769AC"/>
    <w:pPr>
      <w:ind w:left="284"/>
    </w:pPr>
  </w:style>
  <w:style w:type="paragraph" w:customStyle="1" w:styleId="ECHRTitleCentre3">
    <w:name w:val="ECHR_Title_Centre_3"/>
    <w:aliases w:val="Ju_H_Article"/>
    <w:basedOn w:val="Normal"/>
    <w:next w:val="ECHRParaQuote"/>
    <w:uiPriority w:val="27"/>
    <w:qFormat/>
    <w:rsid w:val="007769A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769A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7769AC"/>
  </w:style>
  <w:style w:type="paragraph" w:customStyle="1" w:styleId="OpiQuot">
    <w:name w:val="Opi_Quot"/>
    <w:basedOn w:val="ECHRParaQuote"/>
    <w:uiPriority w:val="48"/>
    <w:qFormat/>
    <w:rsid w:val="007769AC"/>
  </w:style>
  <w:style w:type="paragraph" w:customStyle="1" w:styleId="OpiQuotSub">
    <w:name w:val="Opi_Quot_Sub"/>
    <w:basedOn w:val="JuQuotSub"/>
    <w:uiPriority w:val="49"/>
    <w:qFormat/>
    <w:rsid w:val="007769AC"/>
  </w:style>
  <w:style w:type="paragraph" w:customStyle="1" w:styleId="ECHRTitleCentre2">
    <w:name w:val="ECHR_Title_Centre_2"/>
    <w:aliases w:val="Dec_H_Case"/>
    <w:basedOn w:val="Normal"/>
    <w:next w:val="ECHRPara"/>
    <w:uiPriority w:val="8"/>
    <w:rsid w:val="007769AC"/>
    <w:pPr>
      <w:spacing w:after="240"/>
      <w:jc w:val="center"/>
      <w:outlineLvl w:val="0"/>
    </w:pPr>
    <w:rPr>
      <w:rFonts w:asciiTheme="majorHAnsi" w:hAnsiTheme="majorHAnsi"/>
    </w:rPr>
  </w:style>
  <w:style w:type="paragraph" w:customStyle="1" w:styleId="JuTitle">
    <w:name w:val="Ju_Title"/>
    <w:basedOn w:val="Normal"/>
    <w:next w:val="ECHRPara"/>
    <w:uiPriority w:val="3"/>
    <w:rsid w:val="007769AC"/>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7769A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769A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769A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769A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769A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769A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769AC"/>
    <w:pPr>
      <w:keepNext/>
      <w:keepLines/>
      <w:spacing w:before="240" w:after="120"/>
      <w:ind w:left="1236"/>
    </w:pPr>
    <w:rPr>
      <w:sz w:val="20"/>
    </w:rPr>
  </w:style>
  <w:style w:type="paragraph" w:customStyle="1" w:styleId="JuQuotSub">
    <w:name w:val="Ju_Quot_Sub"/>
    <w:basedOn w:val="ECHRParaQuote"/>
    <w:uiPriority w:val="15"/>
    <w:qFormat/>
    <w:rsid w:val="007769AC"/>
    <w:pPr>
      <w:ind w:left="567"/>
    </w:pPr>
  </w:style>
  <w:style w:type="paragraph" w:customStyle="1" w:styleId="JuInitialled">
    <w:name w:val="Ju_Initialled"/>
    <w:basedOn w:val="Normal"/>
    <w:uiPriority w:val="31"/>
    <w:qFormat/>
    <w:rsid w:val="007769AC"/>
    <w:pPr>
      <w:tabs>
        <w:tab w:val="center" w:pos="6407"/>
      </w:tabs>
      <w:spacing w:before="720"/>
      <w:jc w:val="right"/>
    </w:pPr>
  </w:style>
  <w:style w:type="paragraph" w:customStyle="1" w:styleId="OpiHA">
    <w:name w:val="Opi_H_A"/>
    <w:basedOn w:val="ECHRHeading1"/>
    <w:next w:val="OpiPara"/>
    <w:uiPriority w:val="41"/>
    <w:qFormat/>
    <w:rsid w:val="007769AC"/>
    <w:pPr>
      <w:tabs>
        <w:tab w:val="clear" w:pos="357"/>
      </w:tabs>
      <w:outlineLvl w:val="1"/>
    </w:pPr>
    <w:rPr>
      <w:b/>
    </w:rPr>
  </w:style>
  <w:style w:type="paragraph" w:styleId="Header">
    <w:name w:val="header"/>
    <w:basedOn w:val="Normal"/>
    <w:link w:val="HeaderChar"/>
    <w:uiPriority w:val="57"/>
    <w:semiHidden/>
    <w:rsid w:val="007769A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769AC"/>
    <w:rPr>
      <w:sz w:val="24"/>
    </w:rPr>
  </w:style>
  <w:style w:type="character" w:customStyle="1" w:styleId="Heading1Char">
    <w:name w:val="Heading 1 Char"/>
    <w:basedOn w:val="DefaultParagraphFont"/>
    <w:link w:val="Heading1"/>
    <w:uiPriority w:val="99"/>
    <w:semiHidden/>
    <w:rsid w:val="007769A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769A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7769A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769AC"/>
    <w:rPr>
      <w:rFonts w:asciiTheme="majorHAnsi" w:eastAsiaTheme="majorEastAsia" w:hAnsiTheme="majorHAnsi" w:cstheme="majorBidi"/>
      <w:b/>
      <w:bCs/>
      <w:color w:val="4D4D4D"/>
      <w:sz w:val="26"/>
      <w:szCs w:val="26"/>
    </w:rPr>
  </w:style>
  <w:style w:type="character" w:customStyle="1" w:styleId="JUNAMES">
    <w:name w:val="JU_NAMES"/>
    <w:uiPriority w:val="17"/>
    <w:qFormat/>
    <w:rsid w:val="007769AC"/>
    <w:rPr>
      <w:caps w:val="0"/>
      <w:smallCaps/>
    </w:rPr>
  </w:style>
  <w:style w:type="paragraph" w:customStyle="1" w:styleId="ECHRDecisionBody">
    <w:name w:val="ECHR_Decision_Body"/>
    <w:aliases w:val="Ju_Judges"/>
    <w:basedOn w:val="Normal"/>
    <w:uiPriority w:val="11"/>
    <w:qFormat/>
    <w:rsid w:val="007769AC"/>
    <w:pPr>
      <w:tabs>
        <w:tab w:val="left" w:pos="567"/>
        <w:tab w:val="left" w:pos="1134"/>
      </w:tabs>
      <w:jc w:val="left"/>
    </w:pPr>
  </w:style>
  <w:style w:type="character" w:customStyle="1" w:styleId="Heading3Char">
    <w:name w:val="Heading 3 Char"/>
    <w:basedOn w:val="DefaultParagraphFont"/>
    <w:link w:val="Heading3"/>
    <w:uiPriority w:val="99"/>
    <w:semiHidden/>
    <w:rsid w:val="007769AC"/>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7769AC"/>
    <w:pPr>
      <w:ind w:firstLine="284"/>
    </w:pPr>
  </w:style>
  <w:style w:type="character" w:customStyle="1" w:styleId="Heading4Char">
    <w:name w:val="Heading 4 Char"/>
    <w:basedOn w:val="DefaultParagraphFont"/>
    <w:link w:val="Heading4"/>
    <w:uiPriority w:val="99"/>
    <w:semiHidden/>
    <w:rsid w:val="007769AC"/>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769AC"/>
    <w:rPr>
      <w:rFonts w:asciiTheme="majorHAnsi" w:eastAsiaTheme="majorEastAsia" w:hAnsiTheme="majorHAnsi" w:cstheme="majorBidi"/>
      <w:b/>
      <w:bCs/>
      <w:color w:val="808080"/>
    </w:rPr>
  </w:style>
  <w:style w:type="character" w:styleId="SubtleEmphasis">
    <w:name w:val="Subtle Emphasis"/>
    <w:uiPriority w:val="99"/>
    <w:semiHidden/>
    <w:qFormat/>
    <w:rsid w:val="007769AC"/>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7769AC"/>
    <w:pPr>
      <w:keepNext/>
      <w:keepLines/>
      <w:spacing w:before="720" w:after="240"/>
      <w:outlineLvl w:val="0"/>
    </w:pPr>
    <w:rPr>
      <w:rFonts w:asciiTheme="majorHAnsi" w:hAnsiTheme="majorHAnsi"/>
      <w:sz w:val="28"/>
    </w:rPr>
  </w:style>
  <w:style w:type="character" w:styleId="Emphasis">
    <w:name w:val="Emphasis"/>
    <w:uiPriority w:val="99"/>
    <w:semiHidden/>
    <w:qFormat/>
    <w:rsid w:val="007769AC"/>
    <w:rPr>
      <w:b/>
      <w:bCs/>
      <w:i/>
      <w:iCs/>
      <w:spacing w:val="10"/>
      <w:bdr w:val="none" w:sz="0" w:space="0" w:color="auto"/>
      <w:shd w:val="clear" w:color="auto" w:fill="auto"/>
    </w:rPr>
  </w:style>
  <w:style w:type="paragraph" w:styleId="Footer">
    <w:name w:val="footer"/>
    <w:basedOn w:val="Normal"/>
    <w:link w:val="FooterChar"/>
    <w:uiPriority w:val="57"/>
    <w:semiHidden/>
    <w:rsid w:val="007769A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769AC"/>
    <w:rPr>
      <w:sz w:val="24"/>
    </w:rPr>
  </w:style>
  <w:style w:type="character" w:styleId="FootnoteReference">
    <w:name w:val="footnote reference"/>
    <w:basedOn w:val="DefaultParagraphFont"/>
    <w:uiPriority w:val="99"/>
    <w:semiHidden/>
    <w:rsid w:val="007769AC"/>
    <w:rPr>
      <w:vertAlign w:val="superscript"/>
    </w:rPr>
  </w:style>
  <w:style w:type="paragraph" w:styleId="FootnoteText">
    <w:name w:val="footnote text"/>
    <w:basedOn w:val="Normal"/>
    <w:link w:val="FootnoteTextChar"/>
    <w:uiPriority w:val="99"/>
    <w:semiHidden/>
    <w:rsid w:val="007769AC"/>
    <w:rPr>
      <w:sz w:val="20"/>
      <w:szCs w:val="20"/>
    </w:rPr>
  </w:style>
  <w:style w:type="character" w:customStyle="1" w:styleId="FootnoteTextChar">
    <w:name w:val="Footnote Text Char"/>
    <w:basedOn w:val="DefaultParagraphFont"/>
    <w:link w:val="FootnoteText"/>
    <w:uiPriority w:val="99"/>
    <w:semiHidden/>
    <w:rsid w:val="007769AC"/>
    <w:rPr>
      <w:rFonts w:eastAsiaTheme="minorEastAsia"/>
      <w:sz w:val="20"/>
      <w:szCs w:val="20"/>
    </w:rPr>
  </w:style>
  <w:style w:type="character" w:customStyle="1" w:styleId="Heading6Char">
    <w:name w:val="Heading 6 Char"/>
    <w:basedOn w:val="DefaultParagraphFont"/>
    <w:link w:val="Heading6"/>
    <w:uiPriority w:val="99"/>
    <w:semiHidden/>
    <w:rsid w:val="007769AC"/>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769A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769A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769A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769AC"/>
    <w:rPr>
      <w:color w:val="0072BC" w:themeColor="hyperlink"/>
      <w:u w:val="single"/>
    </w:rPr>
  </w:style>
  <w:style w:type="character" w:styleId="IntenseEmphasis">
    <w:name w:val="Intense Emphasis"/>
    <w:uiPriority w:val="99"/>
    <w:semiHidden/>
    <w:qFormat/>
    <w:rsid w:val="007769AC"/>
    <w:rPr>
      <w:b/>
      <w:bCs/>
    </w:rPr>
  </w:style>
  <w:style w:type="paragraph" w:styleId="IntenseQuote">
    <w:name w:val="Intense Quote"/>
    <w:basedOn w:val="Normal"/>
    <w:next w:val="Normal"/>
    <w:link w:val="IntenseQuoteChar"/>
    <w:uiPriority w:val="99"/>
    <w:semiHidden/>
    <w:qFormat/>
    <w:rsid w:val="007769AC"/>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769AC"/>
    <w:rPr>
      <w:rFonts w:eastAsiaTheme="minorEastAsia"/>
      <w:b/>
      <w:bCs/>
      <w:i/>
      <w:iCs/>
      <w:lang w:bidi="en-US"/>
    </w:rPr>
  </w:style>
  <w:style w:type="character" w:styleId="IntenseReference">
    <w:name w:val="Intense Reference"/>
    <w:uiPriority w:val="99"/>
    <w:semiHidden/>
    <w:qFormat/>
    <w:rsid w:val="007769AC"/>
    <w:rPr>
      <w:smallCaps/>
      <w:spacing w:val="5"/>
      <w:u w:val="single"/>
    </w:rPr>
  </w:style>
  <w:style w:type="paragraph" w:styleId="ListParagraph">
    <w:name w:val="List Paragraph"/>
    <w:basedOn w:val="Normal"/>
    <w:uiPriority w:val="99"/>
    <w:semiHidden/>
    <w:qFormat/>
    <w:rsid w:val="007769A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769AC"/>
    <w:pPr>
      <w:spacing w:before="200"/>
      <w:ind w:left="360" w:right="360"/>
    </w:pPr>
    <w:rPr>
      <w:i/>
      <w:iCs/>
      <w:sz w:val="22"/>
      <w:lang w:bidi="en-US"/>
    </w:rPr>
  </w:style>
  <w:style w:type="character" w:customStyle="1" w:styleId="QuoteChar">
    <w:name w:val="Quote Char"/>
    <w:basedOn w:val="DefaultParagraphFont"/>
    <w:link w:val="Quote"/>
    <w:uiPriority w:val="99"/>
    <w:semiHidden/>
    <w:rsid w:val="007769AC"/>
    <w:rPr>
      <w:rFonts w:eastAsiaTheme="minorEastAsia"/>
      <w:i/>
      <w:iCs/>
      <w:lang w:bidi="en-US"/>
    </w:rPr>
  </w:style>
  <w:style w:type="character" w:styleId="SubtleReference">
    <w:name w:val="Subtle Reference"/>
    <w:uiPriority w:val="99"/>
    <w:semiHidden/>
    <w:qFormat/>
    <w:rsid w:val="007769AC"/>
    <w:rPr>
      <w:smallCaps/>
    </w:rPr>
  </w:style>
  <w:style w:type="table" w:styleId="TableGrid">
    <w:name w:val="Table Grid"/>
    <w:basedOn w:val="TableNormal"/>
    <w:uiPriority w:val="59"/>
    <w:semiHidden/>
    <w:rsid w:val="007769A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769AC"/>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769AC"/>
    <w:pPr>
      <w:spacing w:after="60"/>
      <w:ind w:left="680" w:right="340" w:hanging="340"/>
    </w:pPr>
  </w:style>
  <w:style w:type="paragraph" w:styleId="TOC3">
    <w:name w:val="toc 3"/>
    <w:basedOn w:val="Normal"/>
    <w:next w:val="Normal"/>
    <w:autoRedefine/>
    <w:uiPriority w:val="99"/>
    <w:semiHidden/>
    <w:rsid w:val="007769AC"/>
    <w:pPr>
      <w:spacing w:after="60"/>
      <w:ind w:left="1020" w:right="340" w:hanging="340"/>
    </w:pPr>
  </w:style>
  <w:style w:type="paragraph" w:styleId="TOC4">
    <w:name w:val="toc 4"/>
    <w:basedOn w:val="Normal"/>
    <w:next w:val="Normal"/>
    <w:autoRedefine/>
    <w:uiPriority w:val="99"/>
    <w:semiHidden/>
    <w:rsid w:val="007769AC"/>
    <w:pPr>
      <w:tabs>
        <w:tab w:val="right" w:leader="dot" w:pos="9017"/>
      </w:tabs>
      <w:spacing w:after="60"/>
      <w:ind w:left="1361" w:right="340" w:hanging="340"/>
    </w:pPr>
  </w:style>
  <w:style w:type="paragraph" w:styleId="TOC5">
    <w:name w:val="toc 5"/>
    <w:basedOn w:val="Normal"/>
    <w:next w:val="Normal"/>
    <w:autoRedefine/>
    <w:uiPriority w:val="99"/>
    <w:semiHidden/>
    <w:rsid w:val="007769AC"/>
    <w:pPr>
      <w:spacing w:after="60"/>
      <w:ind w:left="1701" w:right="340" w:hanging="340"/>
    </w:pPr>
  </w:style>
  <w:style w:type="paragraph" w:styleId="TOCHeading">
    <w:name w:val="TOC Heading"/>
    <w:basedOn w:val="Heading1"/>
    <w:next w:val="Normal"/>
    <w:uiPriority w:val="99"/>
    <w:semiHidden/>
    <w:qFormat/>
    <w:rsid w:val="007769AC"/>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769A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7769AC"/>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769A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769AC"/>
    <w:pPr>
      <w:tabs>
        <w:tab w:val="center" w:pos="851"/>
        <w:tab w:val="center" w:pos="6407"/>
      </w:tabs>
      <w:spacing w:before="720"/>
      <w:jc w:val="left"/>
    </w:pPr>
  </w:style>
  <w:style w:type="paragraph" w:customStyle="1" w:styleId="JuParaLast">
    <w:name w:val="Ju_Para_Last"/>
    <w:basedOn w:val="Normal"/>
    <w:next w:val="ECHRPara"/>
    <w:uiPriority w:val="30"/>
    <w:qFormat/>
    <w:rsid w:val="007769AC"/>
    <w:pPr>
      <w:keepNext/>
      <w:keepLines/>
      <w:spacing w:before="240"/>
      <w:ind w:firstLine="284"/>
    </w:pPr>
  </w:style>
  <w:style w:type="paragraph" w:customStyle="1" w:styleId="JuCase">
    <w:name w:val="Ju_Case"/>
    <w:basedOn w:val="Normal"/>
    <w:next w:val="ECHRPara"/>
    <w:uiPriority w:val="10"/>
    <w:rsid w:val="007769AC"/>
    <w:pPr>
      <w:ind w:firstLine="284"/>
    </w:pPr>
    <w:rPr>
      <w:b/>
    </w:rPr>
  </w:style>
  <w:style w:type="paragraph" w:customStyle="1" w:styleId="JuList">
    <w:name w:val="Ju_List"/>
    <w:basedOn w:val="Normal"/>
    <w:uiPriority w:val="28"/>
    <w:qFormat/>
    <w:rsid w:val="007769AC"/>
    <w:pPr>
      <w:ind w:left="340" w:hanging="340"/>
    </w:pPr>
  </w:style>
  <w:style w:type="character" w:customStyle="1" w:styleId="JuITMark">
    <w:name w:val="Ju_ITMark"/>
    <w:basedOn w:val="DefaultParagraphFont"/>
    <w:uiPriority w:val="38"/>
    <w:qFormat/>
    <w:rsid w:val="007769AC"/>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769AC"/>
    <w:pPr>
      <w:ind w:left="346" w:firstLine="0"/>
    </w:pPr>
  </w:style>
  <w:style w:type="paragraph" w:customStyle="1" w:styleId="OpiTranslation">
    <w:name w:val="Opi_Translation"/>
    <w:basedOn w:val="Normal"/>
    <w:next w:val="OpiPara"/>
    <w:uiPriority w:val="40"/>
    <w:qFormat/>
    <w:rsid w:val="007769AC"/>
    <w:pPr>
      <w:jc w:val="center"/>
      <w:outlineLvl w:val="0"/>
    </w:pPr>
    <w:rPr>
      <w:i/>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DecHTitle">
    <w:name w:val="Dec_H_Title"/>
    <w:basedOn w:val="ECHRTitleCentre1"/>
    <w:uiPriority w:val="7"/>
    <w:rsid w:val="007769AC"/>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7769AC"/>
    <w:pPr>
      <w:tabs>
        <w:tab w:val="left" w:pos="907"/>
        <w:tab w:val="left" w:pos="1701"/>
        <w:tab w:val="right" w:pos="7371"/>
      </w:tabs>
      <w:spacing w:before="240"/>
      <w:ind w:left="397" w:hanging="397"/>
      <w:jc w:val="left"/>
    </w:pPr>
    <w:rPr>
      <w:lang w:bidi="en-US"/>
    </w:rPr>
  </w:style>
  <w:style w:type="paragraph" w:styleId="Subtitle">
    <w:name w:val="Subtitle"/>
    <w:basedOn w:val="Normal"/>
    <w:next w:val="Normal"/>
    <w:link w:val="SubtitleChar"/>
    <w:uiPriority w:val="99"/>
    <w:semiHidden/>
    <w:qFormat/>
    <w:rsid w:val="007769AC"/>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769A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DecList">
    <w:name w:val="Dec_List"/>
    <w:basedOn w:val="Normal"/>
    <w:uiPriority w:val="9"/>
    <w:rsid w:val="007769AC"/>
    <w:pPr>
      <w:spacing w:before="240"/>
      <w:ind w:left="284"/>
    </w:pPr>
  </w:style>
  <w:style w:type="paragraph" w:customStyle="1" w:styleId="JuListi">
    <w:name w:val="Ju_List_i"/>
    <w:basedOn w:val="Normal"/>
    <w:next w:val="JuLista"/>
    <w:uiPriority w:val="28"/>
    <w:qFormat/>
    <w:rsid w:val="007769AC"/>
    <w:pPr>
      <w:ind w:left="794"/>
    </w:pPr>
  </w:style>
  <w:style w:type="paragraph" w:customStyle="1" w:styleId="OpiH1">
    <w:name w:val="Opi_H_1"/>
    <w:basedOn w:val="ECHRHeading2"/>
    <w:uiPriority w:val="42"/>
    <w:qFormat/>
    <w:rsid w:val="007769AC"/>
    <w:pPr>
      <w:ind w:left="635" w:hanging="357"/>
      <w:outlineLvl w:val="2"/>
    </w:pPr>
  </w:style>
  <w:style w:type="paragraph" w:customStyle="1" w:styleId="OpiHa0">
    <w:name w:val="Opi_H_a"/>
    <w:basedOn w:val="ECHRHeading3"/>
    <w:uiPriority w:val="43"/>
    <w:qFormat/>
    <w:rsid w:val="007769AC"/>
    <w:pPr>
      <w:ind w:left="833" w:hanging="357"/>
      <w:outlineLvl w:val="3"/>
    </w:pPr>
    <w:rPr>
      <w:b/>
      <w:i w:val="0"/>
      <w:sz w:val="20"/>
    </w:rPr>
  </w:style>
  <w:style w:type="paragraph" w:customStyle="1" w:styleId="OpiHi">
    <w:name w:val="Opi_H_i"/>
    <w:basedOn w:val="ECHRHeading4"/>
    <w:uiPriority w:val="44"/>
    <w:qFormat/>
    <w:rsid w:val="007769AC"/>
    <w:pPr>
      <w:ind w:left="1037" w:hanging="357"/>
      <w:outlineLvl w:val="4"/>
    </w:pPr>
    <w:rPr>
      <w:b w:val="0"/>
      <w:i/>
    </w:rPr>
  </w:style>
  <w:style w:type="paragraph" w:customStyle="1" w:styleId="DummyStyle">
    <w:name w:val="Dummy_Style"/>
    <w:basedOn w:val="Normal"/>
    <w:semiHidden/>
    <w:qFormat/>
    <w:rsid w:val="007769AC"/>
    <w:rPr>
      <w:color w:val="00B050"/>
    </w:rPr>
  </w:style>
  <w:style w:type="character" w:customStyle="1" w:styleId="ECHRParaChar">
    <w:name w:val="ECHR_Para Char"/>
    <w:aliases w:val="Ju_Para Char"/>
    <w:link w:val="ECHRPara"/>
    <w:uiPriority w:val="12"/>
    <w:rsid w:val="00BF499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0576">
      <w:bodyDiv w:val="1"/>
      <w:marLeft w:val="0"/>
      <w:marRight w:val="0"/>
      <w:marTop w:val="0"/>
      <w:marBottom w:val="0"/>
      <w:divBdr>
        <w:top w:val="none" w:sz="0" w:space="0" w:color="auto"/>
        <w:left w:val="none" w:sz="0" w:space="0" w:color="auto"/>
        <w:bottom w:val="none" w:sz="0" w:space="0" w:color="auto"/>
        <w:right w:val="none" w:sz="0" w:space="0" w:color="auto"/>
      </w:divBdr>
      <w:divsChild>
        <w:div w:id="1603105527">
          <w:marLeft w:val="0"/>
          <w:marRight w:val="0"/>
          <w:marTop w:val="0"/>
          <w:marBottom w:val="0"/>
          <w:divBdr>
            <w:top w:val="none" w:sz="0" w:space="0" w:color="auto"/>
            <w:left w:val="none" w:sz="0" w:space="0" w:color="auto"/>
            <w:bottom w:val="none" w:sz="0" w:space="0" w:color="auto"/>
            <w:right w:val="none" w:sz="0" w:space="0" w:color="auto"/>
          </w:divBdr>
          <w:divsChild>
            <w:div w:id="1535463105">
              <w:marLeft w:val="0"/>
              <w:marRight w:val="0"/>
              <w:marTop w:val="0"/>
              <w:marBottom w:val="0"/>
              <w:divBdr>
                <w:top w:val="none" w:sz="0" w:space="0" w:color="auto"/>
                <w:left w:val="none" w:sz="0" w:space="0" w:color="auto"/>
                <w:bottom w:val="none" w:sz="0" w:space="0" w:color="auto"/>
                <w:right w:val="none" w:sz="0" w:space="0" w:color="auto"/>
              </w:divBdr>
              <w:divsChild>
                <w:div w:id="665014734">
                  <w:marLeft w:val="0"/>
                  <w:marRight w:val="0"/>
                  <w:marTop w:val="0"/>
                  <w:marBottom w:val="0"/>
                  <w:divBdr>
                    <w:top w:val="none" w:sz="0" w:space="0" w:color="auto"/>
                    <w:left w:val="none" w:sz="0" w:space="0" w:color="auto"/>
                    <w:bottom w:val="none" w:sz="0" w:space="0" w:color="auto"/>
                    <w:right w:val="none" w:sz="0" w:space="0" w:color="auto"/>
                  </w:divBdr>
                  <w:divsChild>
                    <w:div w:id="1423258842">
                      <w:marLeft w:val="0"/>
                      <w:marRight w:val="0"/>
                      <w:marTop w:val="0"/>
                      <w:marBottom w:val="0"/>
                      <w:divBdr>
                        <w:top w:val="none" w:sz="0" w:space="0" w:color="auto"/>
                        <w:left w:val="none" w:sz="0" w:space="0" w:color="auto"/>
                        <w:bottom w:val="none" w:sz="0" w:space="0" w:color="auto"/>
                        <w:right w:val="none" w:sz="0" w:space="0" w:color="auto"/>
                      </w:divBdr>
                      <w:divsChild>
                        <w:div w:id="1045521040">
                          <w:marLeft w:val="0"/>
                          <w:marRight w:val="0"/>
                          <w:marTop w:val="0"/>
                          <w:marBottom w:val="0"/>
                          <w:divBdr>
                            <w:top w:val="none" w:sz="0" w:space="0" w:color="auto"/>
                            <w:left w:val="none" w:sz="0" w:space="0" w:color="auto"/>
                            <w:bottom w:val="none" w:sz="0" w:space="0" w:color="auto"/>
                            <w:right w:val="none" w:sz="0" w:space="0" w:color="auto"/>
                          </w:divBdr>
                          <w:divsChild>
                            <w:div w:id="261888338">
                              <w:marLeft w:val="0"/>
                              <w:marRight w:val="0"/>
                              <w:marTop w:val="0"/>
                              <w:marBottom w:val="0"/>
                              <w:divBdr>
                                <w:top w:val="none" w:sz="0" w:space="0" w:color="auto"/>
                                <w:left w:val="none" w:sz="0" w:space="0" w:color="auto"/>
                                <w:bottom w:val="none" w:sz="0" w:space="0" w:color="auto"/>
                                <w:right w:val="none" w:sz="0" w:space="0" w:color="auto"/>
                              </w:divBdr>
                            </w:div>
                            <w:div w:id="21258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93A02-FAAE-4CE4-BFA0-E4C7FD783CEB}"/>
</file>

<file path=customXml/itemProps2.xml><?xml version="1.0" encoding="utf-8"?>
<ds:datastoreItem xmlns:ds="http://schemas.openxmlformats.org/officeDocument/2006/customXml" ds:itemID="{C855237E-9EA1-43C9-BB1E-C60C7634A996}"/>
</file>

<file path=customXml/itemProps3.xml><?xml version="1.0" encoding="utf-8"?>
<ds:datastoreItem xmlns:ds="http://schemas.openxmlformats.org/officeDocument/2006/customXml" ds:itemID="{298FE46E-3CD5-457B-B8F0-659D55593D16}"/>
</file>

<file path=customXml/itemProps4.xml><?xml version="1.0" encoding="utf-8"?>
<ds:datastoreItem xmlns:ds="http://schemas.openxmlformats.org/officeDocument/2006/customXml" ds:itemID="{096BEDA3-4C74-459F-B6E6-C559034EAB73}"/>
</file>

<file path=docProps/app.xml><?xml version="1.0" encoding="utf-8"?>
<Properties xmlns="http://schemas.openxmlformats.org/officeDocument/2006/extended-properties" xmlns:vt="http://schemas.openxmlformats.org/officeDocument/2006/docPropsVTypes">
  <Template>Normal.dotm</Template>
  <TotalTime>14</TotalTime>
  <Pages>1</Pages>
  <Words>7294</Words>
  <Characters>41578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2</cp:revision>
  <cp:lastPrinted>2016-06-13T07:39:00Z</cp:lastPrinted>
  <dcterms:created xsi:type="dcterms:W3CDTF">2016-06-17T12:06:00Z</dcterms:created>
  <dcterms:modified xsi:type="dcterms:W3CDTF">2016-06-17T12:06:00Z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