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427" w:rsidRDefault="00EC6427" w:rsidP="0068104D">
      <w:pPr>
        <w:jc w:val="center"/>
      </w:pPr>
    </w:p>
    <w:p w:rsidR="003759D8" w:rsidRDefault="003759D8" w:rsidP="0068104D">
      <w:pPr>
        <w:jc w:val="center"/>
      </w:pPr>
    </w:p>
    <w:p w:rsidR="003759D8" w:rsidRPr="006D3968" w:rsidRDefault="003759D8" w:rsidP="0068104D">
      <w:pPr>
        <w:jc w:val="center"/>
      </w:pPr>
    </w:p>
    <w:p w:rsidR="00EC6427" w:rsidRPr="00520ECC" w:rsidRDefault="00520ECC" w:rsidP="0068104D">
      <w:pPr>
        <w:jc w:val="center"/>
      </w:pPr>
      <w:r w:rsidRPr="00520ECC">
        <w:t>PREMIÈRE SECTION</w:t>
      </w:r>
    </w:p>
    <w:p w:rsidR="00EC6427" w:rsidRDefault="00EC6427" w:rsidP="0068104D">
      <w:pPr>
        <w:jc w:val="center"/>
      </w:pPr>
    </w:p>
    <w:p w:rsidR="003759D8" w:rsidRDefault="003759D8" w:rsidP="0068104D">
      <w:pPr>
        <w:jc w:val="center"/>
      </w:pPr>
    </w:p>
    <w:p w:rsidR="003759D8" w:rsidRDefault="003759D8" w:rsidP="0068104D">
      <w:pPr>
        <w:jc w:val="center"/>
      </w:pPr>
    </w:p>
    <w:p w:rsidR="003759D8" w:rsidRDefault="003759D8" w:rsidP="0068104D">
      <w:pPr>
        <w:jc w:val="center"/>
      </w:pPr>
    </w:p>
    <w:p w:rsidR="003759D8" w:rsidRPr="00520ECC" w:rsidRDefault="003759D8" w:rsidP="0068104D">
      <w:pPr>
        <w:jc w:val="center"/>
      </w:pPr>
    </w:p>
    <w:p w:rsidR="00EC6427" w:rsidRPr="00520ECC" w:rsidRDefault="00EC6427" w:rsidP="0068104D">
      <w:pPr>
        <w:jc w:val="center"/>
        <w:rPr>
          <w:b/>
        </w:rPr>
      </w:pPr>
      <w:bookmarkStart w:id="0" w:name="To"/>
      <w:r w:rsidRPr="00520ECC">
        <w:rPr>
          <w:b/>
        </w:rPr>
        <w:t xml:space="preserve">AFFAIRE </w:t>
      </w:r>
      <w:bookmarkEnd w:id="0"/>
      <w:r w:rsidR="00520ECC" w:rsidRPr="00520ECC">
        <w:rPr>
          <w:b/>
        </w:rPr>
        <w:t>LAVIDA ET AUTRES c. GRÈCE</w:t>
      </w:r>
    </w:p>
    <w:p w:rsidR="00EC6427" w:rsidRPr="00520ECC" w:rsidRDefault="00EC6427" w:rsidP="0068104D">
      <w:pPr>
        <w:jc w:val="center"/>
      </w:pPr>
    </w:p>
    <w:p w:rsidR="003759D8" w:rsidRDefault="00EC6427" w:rsidP="003759D8">
      <w:pPr>
        <w:jc w:val="center"/>
        <w:rPr>
          <w:szCs w:val="24"/>
        </w:rPr>
      </w:pPr>
      <w:r w:rsidRPr="00520ECC">
        <w:rPr>
          <w:i/>
        </w:rPr>
        <w:t>(</w:t>
      </w:r>
      <w:r w:rsidR="00520ECC" w:rsidRPr="00520ECC">
        <w:rPr>
          <w:i/>
        </w:rPr>
        <w:t>Requête n</w:t>
      </w:r>
      <w:r w:rsidR="00520ECC" w:rsidRPr="00520ECC">
        <w:rPr>
          <w:i/>
          <w:vertAlign w:val="superscript"/>
        </w:rPr>
        <w:t>o</w:t>
      </w:r>
      <w:r w:rsidR="00520ECC" w:rsidRPr="00520ECC">
        <w:rPr>
          <w:i/>
        </w:rPr>
        <w:t xml:space="preserve"> 7973/10</w:t>
      </w:r>
      <w:r w:rsidRPr="00520ECC">
        <w:rPr>
          <w:i/>
        </w:rPr>
        <w:t>)</w:t>
      </w:r>
    </w:p>
    <w:p w:rsidR="003759D8" w:rsidRDefault="003759D8" w:rsidP="003759D8">
      <w:pPr>
        <w:jc w:val="center"/>
        <w:rPr>
          <w:szCs w:val="24"/>
        </w:rPr>
      </w:pPr>
    </w:p>
    <w:p w:rsidR="003759D8" w:rsidRDefault="003759D8" w:rsidP="003759D8">
      <w:pPr>
        <w:jc w:val="center"/>
        <w:rPr>
          <w:szCs w:val="24"/>
        </w:rPr>
      </w:pPr>
    </w:p>
    <w:p w:rsidR="003759D8" w:rsidRDefault="003759D8" w:rsidP="003759D8">
      <w:pPr>
        <w:jc w:val="center"/>
        <w:rPr>
          <w:szCs w:val="24"/>
        </w:rPr>
      </w:pPr>
    </w:p>
    <w:p w:rsidR="003759D8" w:rsidRDefault="003759D8" w:rsidP="003759D8">
      <w:pPr>
        <w:jc w:val="center"/>
        <w:rPr>
          <w:szCs w:val="24"/>
        </w:rPr>
      </w:pPr>
    </w:p>
    <w:p w:rsidR="003759D8" w:rsidRDefault="003759D8" w:rsidP="003759D8">
      <w:pPr>
        <w:jc w:val="center"/>
        <w:rPr>
          <w:szCs w:val="24"/>
        </w:rPr>
      </w:pPr>
    </w:p>
    <w:p w:rsidR="003759D8" w:rsidRDefault="003759D8" w:rsidP="003759D8">
      <w:pPr>
        <w:jc w:val="center"/>
        <w:rPr>
          <w:szCs w:val="24"/>
        </w:rPr>
      </w:pPr>
    </w:p>
    <w:p w:rsidR="003759D8" w:rsidRPr="003759D8" w:rsidRDefault="003759D8" w:rsidP="003759D8">
      <w:pPr>
        <w:jc w:val="center"/>
        <w:rPr>
          <w:szCs w:val="24"/>
        </w:rPr>
      </w:pPr>
      <w:r>
        <w:rPr>
          <w:szCs w:val="24"/>
        </w:rPr>
        <w:t>ARRÊT</w:t>
      </w:r>
    </w:p>
    <w:p w:rsidR="003759D8" w:rsidRDefault="003759D8" w:rsidP="003759D8">
      <w:pPr>
        <w:jc w:val="center"/>
      </w:pPr>
    </w:p>
    <w:p w:rsidR="003759D8" w:rsidRDefault="003759D8" w:rsidP="003759D8">
      <w:pPr>
        <w:jc w:val="center"/>
      </w:pPr>
    </w:p>
    <w:p w:rsidR="003759D8" w:rsidRDefault="003759D8" w:rsidP="003759D8">
      <w:pPr>
        <w:jc w:val="center"/>
      </w:pPr>
    </w:p>
    <w:p w:rsidR="003759D8" w:rsidRDefault="003759D8" w:rsidP="003759D8">
      <w:pPr>
        <w:jc w:val="center"/>
      </w:pPr>
      <w:r>
        <w:t>STRASBOURG</w:t>
      </w:r>
    </w:p>
    <w:p w:rsidR="003759D8" w:rsidRDefault="003759D8" w:rsidP="003759D8">
      <w:pPr>
        <w:jc w:val="center"/>
      </w:pPr>
    </w:p>
    <w:p w:rsidR="003759D8" w:rsidRDefault="003759D8" w:rsidP="003759D8">
      <w:pPr>
        <w:jc w:val="center"/>
      </w:pPr>
      <w:r>
        <w:t>30 mai 2013</w:t>
      </w:r>
    </w:p>
    <w:p w:rsidR="003759D8" w:rsidRDefault="003759D8" w:rsidP="003759D8">
      <w:pPr>
        <w:jc w:val="center"/>
      </w:pPr>
    </w:p>
    <w:p w:rsidR="003759D8" w:rsidRDefault="003759D8" w:rsidP="003759D8">
      <w:pPr>
        <w:jc w:val="center"/>
      </w:pPr>
    </w:p>
    <w:p w:rsidR="008615F7" w:rsidRDefault="008615F7" w:rsidP="008615F7">
      <w:pPr>
        <w:pStyle w:val="jucase0"/>
        <w:ind w:firstLine="0"/>
        <w:jc w:val="center"/>
        <w:rPr>
          <w:color w:val="FF0000"/>
          <w:sz w:val="28"/>
          <w:szCs w:val="28"/>
          <w:u w:val="single"/>
          <w:lang w:val="fr-FR"/>
        </w:rPr>
      </w:pPr>
      <w:r>
        <w:rPr>
          <w:color w:val="FF0000"/>
          <w:sz w:val="28"/>
          <w:szCs w:val="28"/>
          <w:u w:val="single"/>
          <w:lang w:val="fr-FR"/>
        </w:rPr>
        <w:t>DÉFINITIF</w:t>
      </w:r>
    </w:p>
    <w:p w:rsidR="008615F7" w:rsidRDefault="008615F7" w:rsidP="008615F7">
      <w:pPr>
        <w:pStyle w:val="jupara0"/>
        <w:ind w:firstLine="0"/>
        <w:rPr>
          <w:color w:val="FF0000"/>
          <w:sz w:val="28"/>
          <w:szCs w:val="28"/>
          <w:lang w:val="fr-FR"/>
        </w:rPr>
      </w:pPr>
    </w:p>
    <w:p w:rsidR="008615F7" w:rsidRDefault="008615F7" w:rsidP="008615F7">
      <w:pPr>
        <w:pStyle w:val="jupara0"/>
        <w:ind w:firstLine="0"/>
        <w:jc w:val="center"/>
        <w:rPr>
          <w:color w:val="FF0000"/>
          <w:sz w:val="28"/>
          <w:szCs w:val="28"/>
          <w:lang w:val="fr-FR"/>
        </w:rPr>
      </w:pPr>
      <w:r>
        <w:rPr>
          <w:color w:val="FF0000"/>
          <w:sz w:val="28"/>
          <w:szCs w:val="28"/>
          <w:lang w:val="fr-FR"/>
        </w:rPr>
        <w:t>30/08/2013</w:t>
      </w:r>
    </w:p>
    <w:p w:rsidR="008615F7" w:rsidRDefault="008615F7" w:rsidP="008615F7">
      <w:pPr>
        <w:jc w:val="center"/>
        <w:rPr>
          <w:u w:val="single"/>
        </w:rPr>
      </w:pPr>
    </w:p>
    <w:p w:rsidR="00CB7DFD" w:rsidRPr="00520ECC" w:rsidRDefault="008615F7" w:rsidP="008615F7">
      <w:pPr>
        <w:rPr>
          <w:szCs w:val="24"/>
        </w:rPr>
      </w:pPr>
      <w:r>
        <w:rPr>
          <w:i/>
          <w:iCs/>
          <w:sz w:val="22"/>
          <w:szCs w:val="22"/>
        </w:rPr>
        <w:t>Cet arrêt est devenu définitif en vertu de l’article 44 § 2 de la Convention. Il peut subir des retouches de forme.</w:t>
      </w:r>
    </w:p>
    <w:p w:rsidR="003759D8" w:rsidRDefault="003759D8" w:rsidP="0068104D">
      <w:pPr>
        <w:pStyle w:val="JuCase"/>
        <w:sectPr w:rsidR="003759D8" w:rsidSect="003759D8">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6" w:h="16838" w:code="9"/>
          <w:pgMar w:top="2274" w:right="2274" w:bottom="2274" w:left="2274" w:header="1701" w:footer="720" w:gutter="0"/>
          <w:pgNumType w:start="1"/>
          <w:cols w:space="720"/>
          <w:titlePg/>
          <w:docGrid w:linePitch="326"/>
        </w:sectPr>
      </w:pPr>
    </w:p>
    <w:p w:rsidR="00EC6427" w:rsidRPr="00520ECC" w:rsidRDefault="00EC6427" w:rsidP="0068104D">
      <w:pPr>
        <w:pStyle w:val="JuCase"/>
      </w:pPr>
      <w:r w:rsidRPr="00520ECC">
        <w:t>En l</w:t>
      </w:r>
      <w:r w:rsidR="008615F7">
        <w:t>’</w:t>
      </w:r>
      <w:r w:rsidRPr="00520ECC">
        <w:t xml:space="preserve">affaire </w:t>
      </w:r>
      <w:r w:rsidR="00520ECC" w:rsidRPr="00520ECC">
        <w:t>Lavida et autres c. Grèce</w:t>
      </w:r>
      <w:r w:rsidRPr="00520ECC">
        <w:t>,</w:t>
      </w:r>
    </w:p>
    <w:p w:rsidR="00362D1F" w:rsidRPr="00520ECC" w:rsidRDefault="00EC6427" w:rsidP="0068104D">
      <w:pPr>
        <w:pStyle w:val="JuPara"/>
      </w:pPr>
      <w:r w:rsidRPr="00520ECC">
        <w:t xml:space="preserve">La Cour européenne des </w:t>
      </w:r>
      <w:r w:rsidR="00445E54" w:rsidRPr="00520ECC">
        <w:t>d</w:t>
      </w:r>
      <w:r w:rsidRPr="00520ECC">
        <w:t>roits de l</w:t>
      </w:r>
      <w:r w:rsidR="008615F7">
        <w:t>’</w:t>
      </w:r>
      <w:r w:rsidR="00445E54" w:rsidRPr="00520ECC">
        <w:t>h</w:t>
      </w:r>
      <w:r w:rsidRPr="00520ECC">
        <w:t>omme</w:t>
      </w:r>
      <w:r w:rsidR="00DE593D" w:rsidRPr="00520ECC">
        <w:t xml:space="preserve"> (</w:t>
      </w:r>
      <w:r w:rsidR="00520ECC" w:rsidRPr="00520ECC">
        <w:t>première section</w:t>
      </w:r>
      <w:r w:rsidR="00DE593D" w:rsidRPr="00520ECC">
        <w:t>)</w:t>
      </w:r>
      <w:r w:rsidRPr="00520ECC">
        <w:t xml:space="preserve">, siégeant en </w:t>
      </w:r>
      <w:r w:rsidR="00520ECC" w:rsidRPr="00520ECC">
        <w:t>une chambre composée</w:t>
      </w:r>
      <w:r w:rsidR="004702BA" w:rsidRPr="00520ECC">
        <w:t xml:space="preserve"> </w:t>
      </w:r>
      <w:r w:rsidR="00362D1F" w:rsidRPr="00520ECC">
        <w:t>de :</w:t>
      </w:r>
    </w:p>
    <w:p w:rsidR="0009234F" w:rsidRPr="000E1B68" w:rsidRDefault="003759D8" w:rsidP="0068104D">
      <w:pPr>
        <w:pStyle w:val="JuJudges"/>
      </w:pPr>
      <w:r w:rsidRPr="003759D8">
        <w:tab/>
        <w:t>Isabelle</w:t>
      </w:r>
      <w:r>
        <w:t xml:space="preserve"> </w:t>
      </w:r>
      <w:r w:rsidRPr="003759D8">
        <w:t>Berro-Lefèvre</w:t>
      </w:r>
      <w:r>
        <w:t>,</w:t>
      </w:r>
      <w:r w:rsidRPr="003759D8">
        <w:rPr>
          <w:i/>
        </w:rPr>
        <w:t xml:space="preserve"> présidente,</w:t>
      </w:r>
      <w:r>
        <w:rPr>
          <w:i/>
        </w:rPr>
        <w:br/>
      </w:r>
      <w:r w:rsidRPr="003759D8">
        <w:tab/>
        <w:t>Elisabeth</w:t>
      </w:r>
      <w:r>
        <w:t xml:space="preserve"> </w:t>
      </w:r>
      <w:r w:rsidRPr="003759D8">
        <w:t>Steiner</w:t>
      </w:r>
      <w:r>
        <w:t>,</w:t>
      </w:r>
      <w:r>
        <w:rPr>
          <w:i/>
        </w:rPr>
        <w:br/>
      </w:r>
      <w:r w:rsidRPr="003759D8">
        <w:tab/>
        <w:t>Khanlar</w:t>
      </w:r>
      <w:r>
        <w:t xml:space="preserve"> </w:t>
      </w:r>
      <w:r w:rsidRPr="003759D8">
        <w:t>Hajiyev</w:t>
      </w:r>
      <w:r>
        <w:t>,</w:t>
      </w:r>
      <w:r>
        <w:rPr>
          <w:i/>
        </w:rPr>
        <w:br/>
      </w:r>
      <w:r w:rsidRPr="003759D8">
        <w:tab/>
        <w:t>Mirjana</w:t>
      </w:r>
      <w:r>
        <w:t xml:space="preserve"> </w:t>
      </w:r>
      <w:r w:rsidRPr="003759D8">
        <w:t>Lazarova Trajkovska</w:t>
      </w:r>
      <w:r>
        <w:t>,</w:t>
      </w:r>
      <w:r>
        <w:rPr>
          <w:i/>
        </w:rPr>
        <w:br/>
      </w:r>
      <w:r w:rsidRPr="003759D8">
        <w:tab/>
        <w:t>Julia</w:t>
      </w:r>
      <w:r>
        <w:t xml:space="preserve"> </w:t>
      </w:r>
      <w:r w:rsidRPr="003759D8">
        <w:t>Laffranque</w:t>
      </w:r>
      <w:r>
        <w:t>,</w:t>
      </w:r>
      <w:r>
        <w:rPr>
          <w:i/>
        </w:rPr>
        <w:br/>
      </w:r>
      <w:r w:rsidRPr="003759D8">
        <w:tab/>
        <w:t>Linos-Alexandre</w:t>
      </w:r>
      <w:r>
        <w:t xml:space="preserve"> </w:t>
      </w:r>
      <w:r w:rsidRPr="003759D8">
        <w:t>Sicilianos</w:t>
      </w:r>
      <w:r>
        <w:t>,</w:t>
      </w:r>
      <w:r>
        <w:rPr>
          <w:i/>
        </w:rPr>
        <w:br/>
      </w:r>
      <w:r w:rsidRPr="003759D8">
        <w:tab/>
        <w:t>Erik</w:t>
      </w:r>
      <w:r>
        <w:t xml:space="preserve"> </w:t>
      </w:r>
      <w:r w:rsidRPr="003759D8">
        <w:t>Møse</w:t>
      </w:r>
      <w:r>
        <w:t>,</w:t>
      </w:r>
      <w:r w:rsidRPr="003759D8">
        <w:rPr>
          <w:i/>
        </w:rPr>
        <w:t xml:space="preserve"> juges,</w:t>
      </w:r>
      <w:r w:rsidR="0009234F" w:rsidRPr="00520ECC">
        <w:br/>
        <w:t>et de</w:t>
      </w:r>
      <w:r>
        <w:t xml:space="preserve"> André Wampach</w:t>
      </w:r>
      <w:r w:rsidR="004E3393" w:rsidRPr="00520ECC">
        <w:t xml:space="preserve">, </w:t>
      </w:r>
      <w:r w:rsidR="00520ECC" w:rsidRPr="00520ECC">
        <w:rPr>
          <w:i/>
        </w:rPr>
        <w:t>greffier</w:t>
      </w:r>
      <w:r>
        <w:rPr>
          <w:iCs/>
        </w:rPr>
        <w:t xml:space="preserve"> </w:t>
      </w:r>
      <w:r w:rsidRPr="003759D8">
        <w:rPr>
          <w:i/>
          <w:iCs/>
        </w:rPr>
        <w:t>adjoint</w:t>
      </w:r>
      <w:r>
        <w:rPr>
          <w:iCs/>
        </w:rPr>
        <w:t xml:space="preserve"> </w:t>
      </w:r>
      <w:r w:rsidR="00520ECC" w:rsidRPr="00520ECC">
        <w:rPr>
          <w:i/>
          <w:iCs/>
        </w:rPr>
        <w:t>d</w:t>
      </w:r>
      <w:r w:rsidR="00520ECC" w:rsidRPr="00520ECC">
        <w:rPr>
          <w:i/>
        </w:rPr>
        <w:t>e section</w:t>
      </w:r>
      <w:r w:rsidR="0009234F" w:rsidRPr="000E1B68">
        <w:t>,</w:t>
      </w:r>
    </w:p>
    <w:p w:rsidR="00EC6427" w:rsidRPr="00520ECC" w:rsidRDefault="00EC6427" w:rsidP="0068104D">
      <w:pPr>
        <w:pStyle w:val="JuPara"/>
      </w:pPr>
      <w:r w:rsidRPr="00520ECC">
        <w:t>Après en avoir délibéré en chambre du conseil le</w:t>
      </w:r>
      <w:r w:rsidR="003759D8">
        <w:t xml:space="preserve"> 7 mai 2013</w:t>
      </w:r>
      <w:r w:rsidRPr="00520ECC">
        <w:t>,</w:t>
      </w:r>
    </w:p>
    <w:p w:rsidR="00EC6427" w:rsidRPr="00520ECC" w:rsidRDefault="00EC6427" w:rsidP="0068104D">
      <w:pPr>
        <w:pStyle w:val="JuPara"/>
      </w:pPr>
      <w:r w:rsidRPr="00520ECC">
        <w:t>Rend l</w:t>
      </w:r>
      <w:r w:rsidR="008615F7">
        <w:t>’</w:t>
      </w:r>
      <w:r w:rsidRPr="00520ECC">
        <w:t>arrêt que voici, adopté à cette date :</w:t>
      </w:r>
    </w:p>
    <w:p w:rsidR="00EC6427" w:rsidRPr="00520ECC" w:rsidRDefault="00EC6427" w:rsidP="00B33C50">
      <w:pPr>
        <w:pStyle w:val="JuHHead"/>
      </w:pPr>
      <w:r w:rsidRPr="00520ECC">
        <w:t>PROCÉDURE</w:t>
      </w:r>
    </w:p>
    <w:p w:rsidR="00EC6427" w:rsidRPr="00520ECC" w:rsidRDefault="00520ECC" w:rsidP="00E90227">
      <w:pPr>
        <w:pStyle w:val="JuPara"/>
      </w:pPr>
      <w:r w:rsidRPr="00520ECC">
        <w:fldChar w:fldCharType="begin"/>
      </w:r>
      <w:r w:rsidRPr="00520ECC">
        <w:instrText xml:space="preserve"> SEQ level0 \*arabic </w:instrText>
      </w:r>
      <w:r w:rsidRPr="00520ECC">
        <w:fldChar w:fldCharType="separate"/>
      </w:r>
      <w:r w:rsidR="00554499">
        <w:rPr>
          <w:noProof/>
        </w:rPr>
        <w:t>1</w:t>
      </w:r>
      <w:r w:rsidRPr="00520ECC">
        <w:fldChar w:fldCharType="end"/>
      </w:r>
      <w:r w:rsidR="00EC6427" w:rsidRPr="00520ECC">
        <w:t>.  A l</w:t>
      </w:r>
      <w:r w:rsidR="008615F7">
        <w:t>’</w:t>
      </w:r>
      <w:r w:rsidR="00EC6427" w:rsidRPr="00520ECC">
        <w:t>origine de l</w:t>
      </w:r>
      <w:r w:rsidR="008615F7">
        <w:t>’</w:t>
      </w:r>
      <w:r w:rsidR="00EC6427" w:rsidRPr="00520ECC">
        <w:t xml:space="preserve">affaire </w:t>
      </w:r>
      <w:r w:rsidRPr="00520ECC">
        <w:t>se trouve une requête (n</w:t>
      </w:r>
      <w:r w:rsidR="003759D8" w:rsidRPr="003759D8">
        <w:rPr>
          <w:vertAlign w:val="superscript"/>
        </w:rPr>
        <w:t>o</w:t>
      </w:r>
      <w:r w:rsidRPr="00520ECC">
        <w:t xml:space="preserve"> 7973/10) dirigée</w:t>
      </w:r>
      <w:r w:rsidR="00EC6427" w:rsidRPr="00520ECC">
        <w:t xml:space="preserve"> contre </w:t>
      </w:r>
      <w:r w:rsidRPr="00520ECC">
        <w:t>la République hellénique</w:t>
      </w:r>
      <w:r w:rsidR="00EC6427" w:rsidRPr="00520ECC">
        <w:t xml:space="preserve"> et dont </w:t>
      </w:r>
      <w:r w:rsidR="00E704E7">
        <w:t>vingt-trois</w:t>
      </w:r>
      <w:r w:rsidRPr="00520ECC">
        <w:t xml:space="preserve"> ressortissants grecs</w:t>
      </w:r>
      <w:r w:rsidR="008A6BAC">
        <w:t>,</w:t>
      </w:r>
      <w:r w:rsidRPr="00520ECC">
        <w:t xml:space="preserve"> </w:t>
      </w:r>
      <w:r w:rsidR="00E704E7">
        <w:t xml:space="preserve">dont les noms figurent en annexe </w:t>
      </w:r>
      <w:r w:rsidRPr="00520ECC">
        <w:t xml:space="preserve">(« les requérants »), ont saisi la Cour le </w:t>
      </w:r>
      <w:r w:rsidR="008A6BAC" w:rsidRPr="00520ECC">
        <w:t>7</w:t>
      </w:r>
      <w:r w:rsidR="008A6BAC">
        <w:t> </w:t>
      </w:r>
      <w:r w:rsidRPr="00520ECC">
        <w:t>janvier 2010</w:t>
      </w:r>
      <w:r w:rsidR="00EC6427" w:rsidRPr="00520ECC">
        <w:t xml:space="preserve"> en vertu de </w:t>
      </w:r>
      <w:r w:rsidRPr="00520ECC">
        <w:t>l</w:t>
      </w:r>
      <w:r w:rsidR="008615F7">
        <w:t>’</w:t>
      </w:r>
      <w:r w:rsidRPr="00520ECC">
        <w:t>article 34</w:t>
      </w:r>
      <w:r w:rsidR="00EC6427" w:rsidRPr="00520ECC">
        <w:t xml:space="preserve"> de la Convention de sauvegarde des </w:t>
      </w:r>
      <w:r w:rsidR="00445E54" w:rsidRPr="00520ECC">
        <w:t>d</w:t>
      </w:r>
      <w:r w:rsidR="00EC6427" w:rsidRPr="00520ECC">
        <w:t>roits de l</w:t>
      </w:r>
      <w:r w:rsidR="008615F7">
        <w:t>’</w:t>
      </w:r>
      <w:r w:rsidR="00445E54" w:rsidRPr="00520ECC">
        <w:t>h</w:t>
      </w:r>
      <w:r w:rsidR="00DC1AF9" w:rsidRPr="00520ECC">
        <w:t>omme et des l</w:t>
      </w:r>
      <w:r w:rsidR="00EC6427" w:rsidRPr="00520ECC">
        <w:t>ibertés fondamentales (« la Convention »).</w:t>
      </w:r>
    </w:p>
    <w:p w:rsidR="00520ECC" w:rsidRPr="00520ECC" w:rsidRDefault="00520ECC" w:rsidP="004653D9">
      <w:pPr>
        <w:pStyle w:val="JuPara"/>
      </w:pPr>
      <w:r w:rsidRPr="00520ECC">
        <w:fldChar w:fldCharType="begin"/>
      </w:r>
      <w:r w:rsidRPr="00520ECC">
        <w:instrText xml:space="preserve"> SEQ level0 \*arabic </w:instrText>
      </w:r>
      <w:r w:rsidRPr="00520ECC">
        <w:fldChar w:fldCharType="separate"/>
      </w:r>
      <w:r w:rsidR="00554499">
        <w:rPr>
          <w:noProof/>
        </w:rPr>
        <w:t>2</w:t>
      </w:r>
      <w:r w:rsidRPr="00520ECC">
        <w:fldChar w:fldCharType="end"/>
      </w:r>
      <w:r w:rsidR="00EC6427" w:rsidRPr="00520ECC">
        <w:t>.  </w:t>
      </w:r>
      <w:r w:rsidRPr="00520ECC">
        <w:t xml:space="preserve">Les requérants ont </w:t>
      </w:r>
      <w:r w:rsidR="002549D6">
        <w:t xml:space="preserve">été </w:t>
      </w:r>
      <w:r w:rsidRPr="00520ECC">
        <w:t>représentés par</w:t>
      </w:r>
      <w:r w:rsidR="00EC19A2">
        <w:t xml:space="preserve"> un</w:t>
      </w:r>
      <w:r w:rsidR="00FB4A3C">
        <w:t>e</w:t>
      </w:r>
      <w:r w:rsidR="00EC19A2">
        <w:t xml:space="preserve"> organisation non</w:t>
      </w:r>
      <w:r w:rsidR="002549D6">
        <w:t xml:space="preserve"> </w:t>
      </w:r>
      <w:r w:rsidR="00EC19A2">
        <w:t>gouvernementale, le</w:t>
      </w:r>
      <w:r w:rsidRPr="00520ECC">
        <w:t xml:space="preserve"> Greek Helsinki Monitor</w:t>
      </w:r>
      <w:r w:rsidR="0080786B">
        <w:t xml:space="preserve"> (GHM)</w:t>
      </w:r>
      <w:r w:rsidRPr="00520ECC">
        <w:t xml:space="preserve">, </w:t>
      </w:r>
      <w:r w:rsidR="00EC19A2">
        <w:t xml:space="preserve">ayant son siège </w:t>
      </w:r>
      <w:r w:rsidRPr="00520ECC">
        <w:t xml:space="preserve">à Glyka Nera. </w:t>
      </w:r>
      <w:r w:rsidR="00EC6427" w:rsidRPr="00520ECC">
        <w:t xml:space="preserve">Le gouvernement </w:t>
      </w:r>
      <w:r w:rsidRPr="00520ECC">
        <w:t>grec</w:t>
      </w:r>
      <w:r w:rsidR="00E704E7">
        <w:t xml:space="preserve"> (« le Gouvernement ») </w:t>
      </w:r>
      <w:r w:rsidR="002549D6">
        <w:t>a été</w:t>
      </w:r>
      <w:r w:rsidR="00EC6427" w:rsidRPr="00520ECC">
        <w:t xml:space="preserve"> représenté par</w:t>
      </w:r>
      <w:r w:rsidR="00EC19A2">
        <w:t xml:space="preserve"> </w:t>
      </w:r>
      <w:r w:rsidR="00E704E7">
        <w:t>le</w:t>
      </w:r>
      <w:r w:rsidR="0080033A">
        <w:t>s</w:t>
      </w:r>
      <w:r w:rsidR="00E704E7">
        <w:t xml:space="preserve"> délégué</w:t>
      </w:r>
      <w:r w:rsidR="0080033A">
        <w:t>s</w:t>
      </w:r>
      <w:r w:rsidR="00E704E7">
        <w:t xml:space="preserve"> de</w:t>
      </w:r>
      <w:r w:rsidR="00EC6427" w:rsidRPr="00520ECC">
        <w:t xml:space="preserve"> son agent, </w:t>
      </w:r>
      <w:r w:rsidR="00FB4A3C">
        <w:t>M</w:t>
      </w:r>
      <w:r w:rsidR="00FB4A3C" w:rsidRPr="008D056C">
        <w:rPr>
          <w:vertAlign w:val="superscript"/>
        </w:rPr>
        <w:t>me</w:t>
      </w:r>
      <w:r w:rsidR="00FB4A3C">
        <w:t xml:space="preserve"> V.</w:t>
      </w:r>
      <w:r w:rsidR="0080033A">
        <w:t xml:space="preserve"> Pelekou</w:t>
      </w:r>
      <w:r w:rsidR="000E1B68">
        <w:t xml:space="preserve"> et M. I. Bakopoulos</w:t>
      </w:r>
      <w:r w:rsidR="0080033A">
        <w:t>, assesseur</w:t>
      </w:r>
      <w:r w:rsidR="000E1B68">
        <w:t>s</w:t>
      </w:r>
      <w:r w:rsidR="0080033A">
        <w:t xml:space="preserve"> auprès du Conseil juridique de l</w:t>
      </w:r>
      <w:r w:rsidR="008615F7">
        <w:t>’</w:t>
      </w:r>
      <w:r w:rsidR="0080033A">
        <w:t>Etat</w:t>
      </w:r>
      <w:r w:rsidR="00E704E7">
        <w:t>.</w:t>
      </w:r>
    </w:p>
    <w:p w:rsidR="00FC739E" w:rsidRPr="00520ECC" w:rsidRDefault="00520ECC" w:rsidP="00FC739E">
      <w:pPr>
        <w:pStyle w:val="JuPara"/>
      </w:pPr>
      <w:r w:rsidRPr="00520ECC">
        <w:fldChar w:fldCharType="begin"/>
      </w:r>
      <w:r w:rsidRPr="00520ECC">
        <w:instrText xml:space="preserve"> SEQ level0 \*arabic </w:instrText>
      </w:r>
      <w:r w:rsidRPr="00520ECC">
        <w:fldChar w:fldCharType="separate"/>
      </w:r>
      <w:r w:rsidR="00554499">
        <w:rPr>
          <w:noProof/>
        </w:rPr>
        <w:t>3</w:t>
      </w:r>
      <w:r w:rsidRPr="00520ECC">
        <w:fldChar w:fldCharType="end"/>
      </w:r>
      <w:r w:rsidRPr="00520ECC">
        <w:t xml:space="preserve">.  Les requérants </w:t>
      </w:r>
      <w:r w:rsidR="002549D6">
        <w:t>se plaign</w:t>
      </w:r>
      <w:r w:rsidR="00114680">
        <w:t>ai</w:t>
      </w:r>
      <w:r w:rsidR="002549D6">
        <w:t>ent</w:t>
      </w:r>
      <w:r w:rsidRPr="00520ECC">
        <w:t xml:space="preserve"> en particulier </w:t>
      </w:r>
      <w:r w:rsidR="002549D6">
        <w:t>d</w:t>
      </w:r>
      <w:r w:rsidR="008615F7">
        <w:t>’</w:t>
      </w:r>
      <w:r w:rsidR="00E704E7">
        <w:t xml:space="preserve">une violation de </w:t>
      </w:r>
      <w:r w:rsidR="002549D6">
        <w:t>l</w:t>
      </w:r>
      <w:r w:rsidR="008615F7">
        <w:t>’</w:t>
      </w:r>
      <w:r w:rsidR="002549D6">
        <w:t>article </w:t>
      </w:r>
      <w:r w:rsidR="00E704E7">
        <w:t>14 de la Convention, combiné avec l</w:t>
      </w:r>
      <w:r w:rsidR="008615F7">
        <w:t>’</w:t>
      </w:r>
      <w:r w:rsidR="00E704E7">
        <w:t>article 2 du Protocole n</w:t>
      </w:r>
      <w:r w:rsidR="003759D8" w:rsidRPr="003759D8">
        <w:rPr>
          <w:vertAlign w:val="superscript"/>
        </w:rPr>
        <w:t>o</w:t>
      </w:r>
      <w:r w:rsidR="00E704E7">
        <w:t xml:space="preserve"> 1</w:t>
      </w:r>
      <w:r w:rsidR="002549D6">
        <w:t xml:space="preserve"> à la Convention</w:t>
      </w:r>
      <w:r w:rsidR="00E704E7">
        <w:t>.</w:t>
      </w:r>
    </w:p>
    <w:p w:rsidR="00C27BF2" w:rsidRPr="00520ECC" w:rsidRDefault="00520ECC" w:rsidP="00E704E7">
      <w:pPr>
        <w:pStyle w:val="JuPara"/>
        <w:rPr>
          <w:szCs w:val="24"/>
          <w:lang w:eastAsia="en-GB"/>
        </w:rPr>
      </w:pPr>
      <w:r w:rsidRPr="00520ECC">
        <w:fldChar w:fldCharType="begin"/>
      </w:r>
      <w:r w:rsidRPr="00520ECC">
        <w:instrText xml:space="preserve"> SEQ level0 \*arabic </w:instrText>
      </w:r>
      <w:r w:rsidRPr="00520ECC">
        <w:fldChar w:fldCharType="separate"/>
      </w:r>
      <w:r w:rsidR="00554499">
        <w:rPr>
          <w:noProof/>
        </w:rPr>
        <w:t>4</w:t>
      </w:r>
      <w:r w:rsidRPr="00520ECC">
        <w:fldChar w:fldCharType="end"/>
      </w:r>
      <w:r w:rsidR="00FC739E" w:rsidRPr="00520ECC">
        <w:t xml:space="preserve">.  Le </w:t>
      </w:r>
      <w:r w:rsidRPr="00520ECC">
        <w:t>21 octobre 2011</w:t>
      </w:r>
      <w:r w:rsidR="00FC739E" w:rsidRPr="00520ECC">
        <w:t xml:space="preserve">, </w:t>
      </w:r>
      <w:r w:rsidRPr="00520ECC">
        <w:t>la requête a</w:t>
      </w:r>
      <w:r w:rsidR="00FC739E" w:rsidRPr="00520ECC">
        <w:t xml:space="preserve"> été </w:t>
      </w:r>
      <w:r w:rsidRPr="00520ECC">
        <w:t>communiquée</w:t>
      </w:r>
      <w:r w:rsidR="00FC739E" w:rsidRPr="00520ECC">
        <w:t xml:space="preserve"> au Gouvernement.</w:t>
      </w:r>
      <w:r w:rsidRPr="00520ECC">
        <w:t xml:space="preserve"> Comme le permet l</w:t>
      </w:r>
      <w:r w:rsidR="008615F7">
        <w:t>’</w:t>
      </w:r>
      <w:r w:rsidRPr="00520ECC">
        <w:t xml:space="preserve">article 29 § 1 de la Convention, il a en outre été décidé </w:t>
      </w:r>
      <w:r w:rsidRPr="00520ECC">
        <w:rPr>
          <w:rStyle w:val="Strong"/>
          <w:b w:val="0"/>
        </w:rPr>
        <w:t>que</w:t>
      </w:r>
      <w:r w:rsidRPr="00520ECC">
        <w:t xml:space="preserve"> la chambre se prononcerait en même temps sur la recevabilité et </w:t>
      </w:r>
      <w:r w:rsidR="002549D6">
        <w:t xml:space="preserve">sur </w:t>
      </w:r>
      <w:r w:rsidRPr="00520ECC">
        <w:t>le fond</w:t>
      </w:r>
      <w:r w:rsidR="002549D6">
        <w:t xml:space="preserve"> de l</w:t>
      </w:r>
      <w:r w:rsidR="008615F7">
        <w:t>’</w:t>
      </w:r>
      <w:r w:rsidR="002549D6">
        <w:t>affaire</w:t>
      </w:r>
      <w:r w:rsidRPr="00520ECC">
        <w:t>.</w:t>
      </w:r>
    </w:p>
    <w:p w:rsidR="00EC6427" w:rsidRPr="00520ECC" w:rsidRDefault="00EC6427" w:rsidP="00B33C50">
      <w:pPr>
        <w:pStyle w:val="JuHHead"/>
        <w:tabs>
          <w:tab w:val="left" w:pos="5387"/>
        </w:tabs>
      </w:pPr>
      <w:r w:rsidRPr="00520ECC">
        <w:t>EN FAIT</w:t>
      </w:r>
    </w:p>
    <w:p w:rsidR="00D31210" w:rsidRPr="00520ECC" w:rsidRDefault="0000732D" w:rsidP="00B33C50">
      <w:pPr>
        <w:pStyle w:val="JuHIRoman"/>
        <w:outlineLvl w:val="0"/>
      </w:pPr>
      <w:r w:rsidRPr="00520ECC">
        <w:t>I.  LES CIRCONSTANCES DE L</w:t>
      </w:r>
      <w:r w:rsidR="008615F7">
        <w:t>’</w:t>
      </w:r>
      <w:r w:rsidRPr="00520ECC">
        <w:t>ESPÈC</w:t>
      </w:r>
      <w:r w:rsidR="00D31210" w:rsidRPr="00520ECC">
        <w:t>E</w:t>
      </w:r>
    </w:p>
    <w:p w:rsidR="00C93D95" w:rsidRDefault="00C93D95" w:rsidP="00C93D95">
      <w:pPr>
        <w:pStyle w:val="JuHA"/>
      </w:pPr>
      <w:r>
        <w:t>A.  Aperçu de la population rom de la commune de Sofades et de la 4</w:t>
      </w:r>
      <w:r w:rsidRPr="00C93D95">
        <w:rPr>
          <w:vertAlign w:val="superscript"/>
        </w:rPr>
        <w:t>e</w:t>
      </w:r>
      <w:r w:rsidR="0088477E">
        <w:t> </w:t>
      </w:r>
      <w:r>
        <w:t>école primaire publique</w:t>
      </w:r>
    </w:p>
    <w:p w:rsidR="00C553AF" w:rsidRPr="00F37825" w:rsidRDefault="00FB4A3C" w:rsidP="00335173">
      <w:pPr>
        <w:pStyle w:val="JuPara"/>
      </w:pPr>
      <w:r>
        <w:fldChar w:fldCharType="begin"/>
      </w:r>
      <w:r>
        <w:instrText xml:space="preserve"> SEQ level0 \*arabic </w:instrText>
      </w:r>
      <w:r>
        <w:fldChar w:fldCharType="separate"/>
      </w:r>
      <w:r w:rsidR="00554499">
        <w:rPr>
          <w:noProof/>
        </w:rPr>
        <w:t>5</w:t>
      </w:r>
      <w:r>
        <w:fldChar w:fldCharType="end"/>
      </w:r>
      <w:r>
        <w:t>.  </w:t>
      </w:r>
      <w:r w:rsidR="0080033A">
        <w:t xml:space="preserve">La ville de Sofades </w:t>
      </w:r>
      <w:r w:rsidR="00114680">
        <w:t>est</w:t>
      </w:r>
      <w:r w:rsidR="0080033A">
        <w:t xml:space="preserve"> situ</w:t>
      </w:r>
      <w:r w:rsidR="00114680">
        <w:t>ée</w:t>
      </w:r>
      <w:r w:rsidR="0080033A">
        <w:t xml:space="preserve"> </w:t>
      </w:r>
      <w:r w:rsidR="004C733F">
        <w:t>dans le</w:t>
      </w:r>
      <w:r w:rsidR="0080033A">
        <w:t xml:space="preserve"> département de Th</w:t>
      </w:r>
      <w:r w:rsidR="00114680">
        <w:t>e</w:t>
      </w:r>
      <w:r w:rsidR="0080033A">
        <w:t>ssali</w:t>
      </w:r>
      <w:r w:rsidR="00C93D95">
        <w:t>e</w:t>
      </w:r>
      <w:r w:rsidR="0080033A">
        <w:t>, dans le centre de la Grèce occidentale.</w:t>
      </w:r>
      <w:r w:rsidR="00C553AF">
        <w:t xml:space="preserve"> Selon le Gouvernement, </w:t>
      </w:r>
      <w:r w:rsidR="004C733F">
        <w:t xml:space="preserve">près de </w:t>
      </w:r>
      <w:r w:rsidR="00C553AF">
        <w:t>l</w:t>
      </w:r>
      <w:r w:rsidR="0080033A">
        <w:t xml:space="preserve">a moitié de la population locale, 3 000 personnes environ, </w:t>
      </w:r>
      <w:r w:rsidR="00461183">
        <w:t xml:space="preserve">est </w:t>
      </w:r>
      <w:r w:rsidR="0080033A">
        <w:t>d</w:t>
      </w:r>
      <w:r w:rsidR="008615F7">
        <w:t>’</w:t>
      </w:r>
      <w:r w:rsidR="0080033A">
        <w:t>origine rom</w:t>
      </w:r>
      <w:r w:rsidR="00EE0029">
        <w:t xml:space="preserve"> </w:t>
      </w:r>
      <w:r w:rsidR="00461183">
        <w:t>et réside</w:t>
      </w:r>
      <w:r w:rsidR="0080033A">
        <w:t xml:space="preserve"> </w:t>
      </w:r>
      <w:r w:rsidR="004C733F" w:rsidRPr="00F37825">
        <w:t xml:space="preserve">dans </w:t>
      </w:r>
      <w:r w:rsidR="0080033A" w:rsidRPr="00F37825">
        <w:t xml:space="preserve">une agglomération </w:t>
      </w:r>
      <w:r w:rsidR="00EE0029" w:rsidRPr="00F37825">
        <w:t xml:space="preserve">connue comme </w:t>
      </w:r>
      <w:r w:rsidR="00F37825" w:rsidRPr="00F37825">
        <w:t xml:space="preserve">étant le </w:t>
      </w:r>
      <w:r w:rsidR="00EE0029" w:rsidRPr="00F37825">
        <w:t xml:space="preserve">nouveau lotissement des </w:t>
      </w:r>
      <w:r w:rsidR="004C733F" w:rsidRPr="00F37825">
        <w:t>R</w:t>
      </w:r>
      <w:r w:rsidR="00EE0029" w:rsidRPr="00F37825">
        <w:t>oms</w:t>
      </w:r>
      <w:r w:rsidR="00F37825">
        <w:t>,</w:t>
      </w:r>
      <w:r w:rsidR="00EE0029" w:rsidRPr="00F37825">
        <w:t xml:space="preserve"> « Nea Zoé ». </w:t>
      </w:r>
      <w:r w:rsidR="00C553AF" w:rsidRPr="00F37825">
        <w:t xml:space="preserve">Selon les requérants, 84 familles habitent dans le nouveau lotissement </w:t>
      </w:r>
      <w:r w:rsidR="00F37825">
        <w:t>et</w:t>
      </w:r>
      <w:r w:rsidR="00C553AF" w:rsidRPr="00F37825">
        <w:t xml:space="preserve"> 300 familles con</w:t>
      </w:r>
      <w:r w:rsidR="00A1627A" w:rsidRPr="00F37825">
        <w:t>tinue</w:t>
      </w:r>
      <w:r w:rsidR="00F37825">
        <w:t>nt</w:t>
      </w:r>
      <w:r w:rsidR="00A1627A" w:rsidRPr="00F37825">
        <w:t xml:space="preserve"> à habiter dans </w:t>
      </w:r>
      <w:r w:rsidR="00F81A59">
        <w:t xml:space="preserve">un </w:t>
      </w:r>
      <w:r w:rsidR="00A1627A" w:rsidRPr="00F37825">
        <w:t>ancien</w:t>
      </w:r>
      <w:r w:rsidR="00F81A59">
        <w:t xml:space="preserve"> lotissement</w:t>
      </w:r>
      <w:r w:rsidR="00A1627A" w:rsidRPr="00F37825">
        <w:t>.</w:t>
      </w:r>
    </w:p>
    <w:p w:rsidR="000F6FD5" w:rsidRDefault="00FB4A3C" w:rsidP="00335173">
      <w:pPr>
        <w:pStyle w:val="JuPara"/>
      </w:pPr>
      <w:r w:rsidRPr="00F37825">
        <w:fldChar w:fldCharType="begin"/>
      </w:r>
      <w:r w:rsidRPr="00F37825">
        <w:instrText xml:space="preserve"> SEQ level0 \*arabic </w:instrText>
      </w:r>
      <w:r w:rsidRPr="00F37825">
        <w:fldChar w:fldCharType="separate"/>
      </w:r>
      <w:r w:rsidR="00554499">
        <w:rPr>
          <w:noProof/>
        </w:rPr>
        <w:t>6</w:t>
      </w:r>
      <w:r w:rsidRPr="00F37825">
        <w:fldChar w:fldCharType="end"/>
      </w:r>
      <w:r w:rsidRPr="00F37825">
        <w:t>.  </w:t>
      </w:r>
      <w:r w:rsidR="00C553AF" w:rsidRPr="00F37825">
        <w:t>A l</w:t>
      </w:r>
      <w:r w:rsidR="008615F7">
        <w:t>’</w:t>
      </w:r>
      <w:r w:rsidR="00C553AF" w:rsidRPr="00F37825">
        <w:t>époque des faits, q</w:t>
      </w:r>
      <w:r w:rsidR="00EE0029" w:rsidRPr="00F37825">
        <w:t>uatre écoles primaires publiques fonctionn</w:t>
      </w:r>
      <w:r w:rsidR="00C553AF" w:rsidRPr="00F37825">
        <w:t>ai</w:t>
      </w:r>
      <w:r w:rsidR="00EE0029" w:rsidRPr="00F37825">
        <w:t>ent</w:t>
      </w:r>
      <w:r w:rsidR="00EE0029">
        <w:t xml:space="preserve"> à Sofades dans des bâtiments dont la gestion incomb</w:t>
      </w:r>
      <w:r w:rsidR="004C733F">
        <w:t>ait</w:t>
      </w:r>
      <w:r w:rsidR="00EE0029">
        <w:t xml:space="preserve"> à la municipalité.</w:t>
      </w:r>
      <w:r w:rsidR="00C553AF">
        <w:t xml:space="preserve"> </w:t>
      </w:r>
      <w:r w:rsidR="004C733F">
        <w:t>L</w:t>
      </w:r>
      <w:r w:rsidR="008615F7">
        <w:t>’</w:t>
      </w:r>
      <w:r w:rsidR="004C733F">
        <w:t>une d</w:t>
      </w:r>
      <w:r w:rsidR="008615F7">
        <w:t>’</w:t>
      </w:r>
      <w:r w:rsidR="004C733F">
        <w:t>elles, l</w:t>
      </w:r>
      <w:r w:rsidR="002D0737">
        <w:t>a 4</w:t>
      </w:r>
      <w:r w:rsidR="002D0737" w:rsidRPr="002D0737">
        <w:rPr>
          <w:vertAlign w:val="superscript"/>
        </w:rPr>
        <w:t>e</w:t>
      </w:r>
      <w:r w:rsidR="002D0737">
        <w:t xml:space="preserve"> </w:t>
      </w:r>
      <w:r w:rsidR="00934C51">
        <w:t>école primaire</w:t>
      </w:r>
      <w:r w:rsidR="004C733F">
        <w:t>,</w:t>
      </w:r>
      <w:r w:rsidR="00934C51">
        <w:t xml:space="preserve"> </w:t>
      </w:r>
      <w:r w:rsidR="004C733F">
        <w:t>avait été</w:t>
      </w:r>
      <w:r w:rsidR="00934C51">
        <w:t xml:space="preserve"> </w:t>
      </w:r>
      <w:r w:rsidR="004C733F">
        <w:t>créée</w:t>
      </w:r>
      <w:r w:rsidR="00934C51">
        <w:t xml:space="preserve"> </w:t>
      </w:r>
      <w:r w:rsidR="00BB0D6D">
        <w:t xml:space="preserve">en 1986 par </w:t>
      </w:r>
      <w:r w:rsidR="00A75FBA">
        <w:t xml:space="preserve">le </w:t>
      </w:r>
      <w:r w:rsidR="00BB0D6D">
        <w:t>décret présidentiel</w:t>
      </w:r>
      <w:r w:rsidR="00A75FBA">
        <w:t xml:space="preserve"> n</w:t>
      </w:r>
      <w:r w:rsidR="003759D8" w:rsidRPr="003759D8">
        <w:rPr>
          <w:vertAlign w:val="superscript"/>
        </w:rPr>
        <w:t>o</w:t>
      </w:r>
      <w:r w:rsidR="00A75FBA">
        <w:t xml:space="preserve"> 146 du 30 septembre 1986</w:t>
      </w:r>
      <w:r w:rsidR="00BB0D6D">
        <w:t xml:space="preserve">. En 1996, un nouveau bâtiment </w:t>
      </w:r>
      <w:r w:rsidR="004C733F">
        <w:t>avait été</w:t>
      </w:r>
      <w:r w:rsidR="00BB0D6D">
        <w:t xml:space="preserve"> construit. </w:t>
      </w:r>
      <w:r w:rsidR="004C733F">
        <w:t>En plus d</w:t>
      </w:r>
      <w:r w:rsidR="009C4573">
        <w:t>es</w:t>
      </w:r>
      <w:r w:rsidR="001374B8">
        <w:t xml:space="preserve"> douze</w:t>
      </w:r>
      <w:r w:rsidR="009C4573">
        <w:t xml:space="preserve"> salles de cours, l</w:t>
      </w:r>
      <w:r w:rsidR="008615F7">
        <w:t>’</w:t>
      </w:r>
      <w:r w:rsidR="009C4573">
        <w:t>école disposait d</w:t>
      </w:r>
      <w:r w:rsidR="008615F7">
        <w:t>’</w:t>
      </w:r>
      <w:r w:rsidR="009C4573">
        <w:t>une salle de sports, d</w:t>
      </w:r>
      <w:r w:rsidR="008615F7">
        <w:t>’</w:t>
      </w:r>
      <w:r w:rsidR="009C4573">
        <w:t xml:space="preserve">une salle </w:t>
      </w:r>
      <w:r w:rsidR="004C733F">
        <w:t>équipée d</w:t>
      </w:r>
      <w:r w:rsidR="008615F7">
        <w:t>’</w:t>
      </w:r>
      <w:r w:rsidR="009C4573">
        <w:t>ordinateurs et d</w:t>
      </w:r>
      <w:r w:rsidR="008615F7">
        <w:t>’</w:t>
      </w:r>
      <w:r w:rsidR="009C4573">
        <w:t xml:space="preserve">une cour. </w:t>
      </w:r>
      <w:r w:rsidR="00FB160B">
        <w:t xml:space="preserve">Cette école </w:t>
      </w:r>
      <w:r w:rsidR="004C733F">
        <w:t xml:space="preserve">avait été </w:t>
      </w:r>
      <w:r w:rsidR="00FB160B">
        <w:t>construite dans l</w:t>
      </w:r>
      <w:r w:rsidR="008615F7">
        <w:t>’</w:t>
      </w:r>
      <w:r w:rsidR="00FB160B">
        <w:t>ancien lotissement de la communauté rom et était proche aussi du nouveau lotissement « Nea Zoé »</w:t>
      </w:r>
      <w:r w:rsidR="00A1627A">
        <w:t xml:space="preserve">, </w:t>
      </w:r>
      <w:r w:rsidR="00142955">
        <w:t xml:space="preserve">qui fut </w:t>
      </w:r>
      <w:r w:rsidR="00532A53">
        <w:t>donc rattaché au secteur de cette école, défini par la carte scolaire</w:t>
      </w:r>
      <w:r w:rsidR="00D85045">
        <w:t xml:space="preserve"> (décision </w:t>
      </w:r>
      <w:r w:rsidR="00142955">
        <w:t xml:space="preserve">du 14 août 2008 </w:t>
      </w:r>
      <w:r w:rsidR="00D85045">
        <w:t>du chef du bureau de l</w:t>
      </w:r>
      <w:r w:rsidR="008615F7">
        <w:t>’</w:t>
      </w:r>
      <w:r w:rsidR="00142955">
        <w:t>e</w:t>
      </w:r>
      <w:r w:rsidR="00D85045">
        <w:t>nseignement primaire de Karditsa)</w:t>
      </w:r>
      <w:r w:rsidR="00FB160B">
        <w:t>.</w:t>
      </w:r>
    </w:p>
    <w:p w:rsidR="000F6FD5" w:rsidRDefault="00A75FBA" w:rsidP="00335173">
      <w:pPr>
        <w:pStyle w:val="JuPara"/>
      </w:pPr>
      <w:r>
        <w:fldChar w:fldCharType="begin"/>
      </w:r>
      <w:r>
        <w:instrText xml:space="preserve"> SEQ level0 \*arabic </w:instrText>
      </w:r>
      <w:r>
        <w:fldChar w:fldCharType="separate"/>
      </w:r>
      <w:r w:rsidR="00554499">
        <w:rPr>
          <w:noProof/>
        </w:rPr>
        <w:t>7</w:t>
      </w:r>
      <w:r>
        <w:fldChar w:fldCharType="end"/>
      </w:r>
      <w:r>
        <w:t>.  </w:t>
      </w:r>
      <w:r w:rsidR="004422F0">
        <w:t>Selon le Gouvernement, l</w:t>
      </w:r>
      <w:r w:rsidR="00A1627A">
        <w:t>e nombre d</w:t>
      </w:r>
      <w:r w:rsidR="008615F7">
        <w:t>’</w:t>
      </w:r>
      <w:r w:rsidR="00992852">
        <w:t>élèves inscrits pour l</w:t>
      </w:r>
      <w:r w:rsidR="008615F7">
        <w:t>’</w:t>
      </w:r>
      <w:r w:rsidR="00992852">
        <w:t>année scolaire 2009-2010 s</w:t>
      </w:r>
      <w:r w:rsidR="008615F7">
        <w:t>’</w:t>
      </w:r>
      <w:r w:rsidR="00992852">
        <w:t>élevait à 511</w:t>
      </w:r>
      <w:r w:rsidR="00F81A59">
        <w:t>, et, à</w:t>
      </w:r>
      <w:r w:rsidR="00992852">
        <w:t xml:space="preserve"> la fin de </w:t>
      </w:r>
      <w:r w:rsidR="00F81A59">
        <w:t>l</w:t>
      </w:r>
      <w:r w:rsidR="008615F7">
        <w:t>’</w:t>
      </w:r>
      <w:r w:rsidR="00992852">
        <w:t>année scolaire</w:t>
      </w:r>
      <w:r w:rsidR="00C553AF">
        <w:t>,</w:t>
      </w:r>
      <w:r w:rsidR="008D056C">
        <w:t xml:space="preserve"> 127 </w:t>
      </w:r>
      <w:r w:rsidR="00992852">
        <w:t xml:space="preserve">élèves </w:t>
      </w:r>
      <w:r w:rsidR="00C553AF">
        <w:t>avaie</w:t>
      </w:r>
      <w:r w:rsidR="00992852">
        <w:t>nt achevé leurs études primaires dans cette école.</w:t>
      </w:r>
    </w:p>
    <w:p w:rsidR="00934C51" w:rsidRPr="00F53408" w:rsidRDefault="00A75FBA" w:rsidP="00335173">
      <w:pPr>
        <w:pStyle w:val="JuPara"/>
      </w:pPr>
      <w:r>
        <w:fldChar w:fldCharType="begin"/>
      </w:r>
      <w:r>
        <w:instrText xml:space="preserve"> SEQ level0 \*arabic </w:instrText>
      </w:r>
      <w:r>
        <w:fldChar w:fldCharType="separate"/>
      </w:r>
      <w:r w:rsidR="00554499">
        <w:rPr>
          <w:noProof/>
        </w:rPr>
        <w:t>8</w:t>
      </w:r>
      <w:r>
        <w:fldChar w:fldCharType="end"/>
      </w:r>
      <w:r>
        <w:t>.  </w:t>
      </w:r>
      <w:r w:rsidR="004422F0">
        <w:t>Les requérants contestent ces chiffres.</w:t>
      </w:r>
      <w:r w:rsidR="00CE6AED">
        <w:t xml:space="preserve"> Ils affirment que</w:t>
      </w:r>
      <w:r w:rsidR="00142955">
        <w:t>,</w:t>
      </w:r>
      <w:r w:rsidR="00CE6AED">
        <w:t xml:space="preserve"> chaque année, 200 élèves environ </w:t>
      </w:r>
      <w:r w:rsidR="00F81A59">
        <w:t xml:space="preserve">étaient </w:t>
      </w:r>
      <w:r w:rsidR="00CE6AED">
        <w:t>inscri</w:t>
      </w:r>
      <w:r w:rsidR="00883E5C">
        <w:t>t</w:t>
      </w:r>
      <w:r w:rsidR="00F81A59">
        <w:t>s</w:t>
      </w:r>
      <w:r w:rsidR="00CE6AED">
        <w:t xml:space="preserve"> à la </w:t>
      </w:r>
      <w:r w:rsidR="002D0737">
        <w:t>4</w:t>
      </w:r>
      <w:r w:rsidR="002D0737" w:rsidRPr="002D0737">
        <w:rPr>
          <w:vertAlign w:val="superscript"/>
        </w:rPr>
        <w:t>e</w:t>
      </w:r>
      <w:r w:rsidR="002D0737">
        <w:t xml:space="preserve"> </w:t>
      </w:r>
      <w:r w:rsidR="00CE6AED">
        <w:t xml:space="preserve">école mais </w:t>
      </w:r>
      <w:r w:rsidR="00142955">
        <w:t>qu</w:t>
      </w:r>
      <w:r w:rsidR="008615F7">
        <w:t>’</w:t>
      </w:r>
      <w:r w:rsidR="00142955">
        <w:t xml:space="preserve">ils </w:t>
      </w:r>
      <w:r w:rsidR="00CE6AED">
        <w:t>n</w:t>
      </w:r>
      <w:r w:rsidR="008615F7">
        <w:t>’</w:t>
      </w:r>
      <w:r w:rsidR="00CE6AED">
        <w:t>assist</w:t>
      </w:r>
      <w:r w:rsidR="00F53408">
        <w:t>ai</w:t>
      </w:r>
      <w:r w:rsidR="00CE6AED">
        <w:t>ent pas aux c</w:t>
      </w:r>
      <w:r w:rsidR="00142955">
        <w:t>ours</w:t>
      </w:r>
      <w:r w:rsidR="00CE6AED">
        <w:t xml:space="preserve"> faute d</w:t>
      </w:r>
      <w:r w:rsidR="00142955">
        <w:t>e place</w:t>
      </w:r>
      <w:r w:rsidR="00CE6AED">
        <w:t>.</w:t>
      </w:r>
      <w:r w:rsidR="002D0737">
        <w:t xml:space="preserve"> Ils précisent aussi que les élèves roms résid</w:t>
      </w:r>
      <w:r w:rsidR="007B1077">
        <w:t>a</w:t>
      </w:r>
      <w:r w:rsidR="002D0737">
        <w:t>nt dans le nouveau lotissement</w:t>
      </w:r>
      <w:r w:rsidR="00C65AF6">
        <w:t>,</w:t>
      </w:r>
      <w:r w:rsidR="002D0737">
        <w:t xml:space="preserve"> </w:t>
      </w:r>
      <w:r w:rsidR="00A1627A">
        <w:t>situé</w:t>
      </w:r>
      <w:r w:rsidR="007B1077">
        <w:t xml:space="preserve"> d</w:t>
      </w:r>
      <w:r w:rsidR="008615F7">
        <w:t>’</w:t>
      </w:r>
      <w:r w:rsidR="007B1077">
        <w:t>après eux</w:t>
      </w:r>
      <w:r w:rsidR="00A1627A">
        <w:t xml:space="preserve"> </w:t>
      </w:r>
      <w:r w:rsidR="002D0737">
        <w:t xml:space="preserve">dans </w:t>
      </w:r>
      <w:r w:rsidR="00532A53">
        <w:t>le secteur d</w:t>
      </w:r>
      <w:r w:rsidR="008615F7">
        <w:t>’</w:t>
      </w:r>
      <w:r w:rsidR="00532A53">
        <w:t>affectation</w:t>
      </w:r>
      <w:r w:rsidR="002D0737">
        <w:t xml:space="preserve"> de la 1</w:t>
      </w:r>
      <w:r w:rsidR="002D0737" w:rsidRPr="002D0737">
        <w:rPr>
          <w:vertAlign w:val="superscript"/>
        </w:rPr>
        <w:t>re</w:t>
      </w:r>
      <w:r w:rsidR="002D0737">
        <w:t xml:space="preserve"> école, n</w:t>
      </w:r>
      <w:r w:rsidR="00142955">
        <w:t>e</w:t>
      </w:r>
      <w:r w:rsidR="002D0737">
        <w:t xml:space="preserve"> pouvaient pas s</w:t>
      </w:r>
      <w:r w:rsidR="008615F7">
        <w:t>’</w:t>
      </w:r>
      <w:r w:rsidR="00A1627A">
        <w:t>inscrire</w:t>
      </w:r>
      <w:r w:rsidR="002D0737">
        <w:t xml:space="preserve"> </w:t>
      </w:r>
      <w:r w:rsidR="00142955">
        <w:t>dans celle-ci et qu</w:t>
      </w:r>
      <w:r w:rsidR="008615F7">
        <w:t>’</w:t>
      </w:r>
      <w:r w:rsidR="00142955">
        <w:t>ils</w:t>
      </w:r>
      <w:r w:rsidR="002D0737">
        <w:t xml:space="preserve"> </w:t>
      </w:r>
      <w:r w:rsidR="002D0737" w:rsidRPr="00F53408">
        <w:t xml:space="preserve">étaient </w:t>
      </w:r>
      <w:r w:rsidR="00440704" w:rsidRPr="00F53408">
        <w:t xml:space="preserve">transportés </w:t>
      </w:r>
      <w:r w:rsidR="002D0737" w:rsidRPr="00F53408">
        <w:t>par bus à la 4</w:t>
      </w:r>
      <w:r w:rsidR="002D0737" w:rsidRPr="00F53408">
        <w:rPr>
          <w:vertAlign w:val="superscript"/>
        </w:rPr>
        <w:t>e</w:t>
      </w:r>
      <w:r w:rsidR="002D0737" w:rsidRPr="00F53408">
        <w:t xml:space="preserve"> école</w:t>
      </w:r>
      <w:r w:rsidR="00142955" w:rsidRPr="00F53408">
        <w:t>,</w:t>
      </w:r>
      <w:r w:rsidR="00440704" w:rsidRPr="00F53408">
        <w:t xml:space="preserve"> distante de 2,5 kilomètres</w:t>
      </w:r>
      <w:r w:rsidR="001374B8">
        <w:t>, plutôt qu</w:t>
      </w:r>
      <w:r w:rsidR="008615F7">
        <w:t>’</w:t>
      </w:r>
      <w:r w:rsidR="001374B8">
        <w:t>à la 1</w:t>
      </w:r>
      <w:r w:rsidR="001374B8" w:rsidRPr="002D0737">
        <w:rPr>
          <w:vertAlign w:val="superscript"/>
        </w:rPr>
        <w:t>re</w:t>
      </w:r>
      <w:r w:rsidR="001374B8">
        <w:t xml:space="preserve"> école distante de 2,4 kilomètres</w:t>
      </w:r>
      <w:r w:rsidR="002D0737" w:rsidRPr="00F53408">
        <w:t>.</w:t>
      </w:r>
    </w:p>
    <w:p w:rsidR="008B519D" w:rsidRPr="00F53408" w:rsidRDefault="00FB4A3C" w:rsidP="00335173">
      <w:pPr>
        <w:pStyle w:val="JuPara"/>
      </w:pPr>
      <w:r w:rsidRPr="00F53408">
        <w:fldChar w:fldCharType="begin"/>
      </w:r>
      <w:r w:rsidRPr="00F53408">
        <w:instrText xml:space="preserve"> SEQ level0 \*arabic </w:instrText>
      </w:r>
      <w:r w:rsidRPr="00F53408">
        <w:fldChar w:fldCharType="separate"/>
      </w:r>
      <w:r w:rsidR="00554499">
        <w:rPr>
          <w:noProof/>
        </w:rPr>
        <w:t>9</w:t>
      </w:r>
      <w:r w:rsidRPr="00F53408">
        <w:fldChar w:fldCharType="end"/>
      </w:r>
      <w:r w:rsidRPr="00F53408">
        <w:t>.  </w:t>
      </w:r>
      <w:r w:rsidR="008B519D" w:rsidRPr="00F53408">
        <w:t>A la suite d</w:t>
      </w:r>
      <w:r w:rsidR="008615F7">
        <w:t>’</w:t>
      </w:r>
      <w:r w:rsidR="008B519D" w:rsidRPr="00F53408">
        <w:t>une fusion opérée en 2011, trois écoles primaires existent actuellement à Sofades : la 1</w:t>
      </w:r>
      <w:r w:rsidR="008B519D" w:rsidRPr="00F53408">
        <w:rPr>
          <w:vertAlign w:val="superscript"/>
        </w:rPr>
        <w:t>re</w:t>
      </w:r>
      <w:r w:rsidR="008B519D" w:rsidRPr="00F53408">
        <w:t xml:space="preserve"> </w:t>
      </w:r>
      <w:r w:rsidR="00B74ED4">
        <w:t xml:space="preserve">école </w:t>
      </w:r>
      <w:r w:rsidR="008B519D" w:rsidRPr="00F53408">
        <w:t>avec six classes et 89 élèves, la 2</w:t>
      </w:r>
      <w:r w:rsidR="008B519D" w:rsidRPr="00F53408">
        <w:rPr>
          <w:vertAlign w:val="superscript"/>
        </w:rPr>
        <w:t>e</w:t>
      </w:r>
      <w:r w:rsidR="008D056C" w:rsidRPr="00F53408">
        <w:t xml:space="preserve"> avec 12 </w:t>
      </w:r>
      <w:r w:rsidR="008B519D" w:rsidRPr="00F53408">
        <w:t>classes et 193 élèves et la 4</w:t>
      </w:r>
      <w:r w:rsidR="008B519D" w:rsidRPr="00F53408">
        <w:rPr>
          <w:vertAlign w:val="superscript"/>
        </w:rPr>
        <w:t>e</w:t>
      </w:r>
      <w:r w:rsidR="008B519D" w:rsidRPr="00F53408">
        <w:t xml:space="preserve"> avec douze classes et 550 élèves</w:t>
      </w:r>
      <w:r w:rsidR="007B1077" w:rsidRPr="00F53408">
        <w:t>,</w:t>
      </w:r>
      <w:r w:rsidR="008B519D" w:rsidRPr="00F53408">
        <w:t xml:space="preserve"> dont</w:t>
      </w:r>
      <w:r w:rsidR="002373FC">
        <w:t xml:space="preserve"> –</w:t>
      </w:r>
      <w:r w:rsidR="00F53408" w:rsidRPr="00F53408">
        <w:t xml:space="preserve"> selon les requérants</w:t>
      </w:r>
      <w:r w:rsidR="002373FC">
        <w:t xml:space="preserve"> –</w:t>
      </w:r>
      <w:r w:rsidR="008B519D" w:rsidRPr="00F53408">
        <w:t xml:space="preserve"> 250 seulement suivent des cours assid</w:t>
      </w:r>
      <w:r w:rsidR="007B1077" w:rsidRPr="00F53408">
        <w:t>û</w:t>
      </w:r>
      <w:r w:rsidR="008B519D" w:rsidRPr="00F53408">
        <w:t>ment.</w:t>
      </w:r>
    </w:p>
    <w:p w:rsidR="00C93D95" w:rsidRPr="002373FC" w:rsidRDefault="008A6E66" w:rsidP="00C93D95">
      <w:pPr>
        <w:pStyle w:val="JuHA"/>
      </w:pPr>
      <w:r w:rsidRPr="002373FC">
        <w:t>B.  La scolarisation</w:t>
      </w:r>
      <w:r w:rsidR="00C93D95" w:rsidRPr="002373FC">
        <w:t xml:space="preserve"> des </w:t>
      </w:r>
      <w:r w:rsidRPr="002373FC">
        <w:t xml:space="preserve">élèves </w:t>
      </w:r>
      <w:r w:rsidR="00C93D95" w:rsidRPr="002373FC">
        <w:t>requérants pendant l</w:t>
      </w:r>
      <w:r w:rsidR="008615F7">
        <w:t>’</w:t>
      </w:r>
      <w:r w:rsidR="00C93D95" w:rsidRPr="002373FC">
        <w:t>année 2009-2010</w:t>
      </w:r>
    </w:p>
    <w:p w:rsidR="000F6FD5" w:rsidRDefault="00520ECC" w:rsidP="00335173">
      <w:pPr>
        <w:pStyle w:val="JuPara"/>
      </w:pPr>
      <w:r w:rsidRPr="002373FC">
        <w:fldChar w:fldCharType="begin"/>
      </w:r>
      <w:r w:rsidRPr="002373FC">
        <w:instrText xml:space="preserve"> SEQ level0 \*arabic </w:instrText>
      </w:r>
      <w:r w:rsidRPr="002373FC">
        <w:fldChar w:fldCharType="separate"/>
      </w:r>
      <w:r w:rsidR="00554499">
        <w:rPr>
          <w:noProof/>
        </w:rPr>
        <w:t>10</w:t>
      </w:r>
      <w:r w:rsidRPr="002373FC">
        <w:fldChar w:fldCharType="end"/>
      </w:r>
      <w:r w:rsidR="00EC6427" w:rsidRPr="002373FC">
        <w:t>.  </w:t>
      </w:r>
      <w:r w:rsidR="002373FC" w:rsidRPr="002373FC">
        <w:t>Q</w:t>
      </w:r>
      <w:r w:rsidR="00335173" w:rsidRPr="002373FC">
        <w:t xml:space="preserve">uinze </w:t>
      </w:r>
      <w:r w:rsidR="002373FC" w:rsidRPr="002373FC">
        <w:t>des requérants</w:t>
      </w:r>
      <w:r w:rsidR="001374B8">
        <w:t>, qui résident tous dans le nouveau lotissement,</w:t>
      </w:r>
      <w:r w:rsidR="002373FC" w:rsidRPr="002373FC">
        <w:t xml:space="preserve"> </w:t>
      </w:r>
      <w:r w:rsidR="00335173" w:rsidRPr="002373FC">
        <w:t>sont des enfants ayant</w:t>
      </w:r>
      <w:r w:rsidR="008D0649" w:rsidRPr="002373FC">
        <w:t xml:space="preserve"> eu</w:t>
      </w:r>
      <w:r w:rsidR="00335173" w:rsidRPr="002373FC">
        <w:t xml:space="preserve"> l</w:t>
      </w:r>
      <w:r w:rsidR="008615F7">
        <w:t>’</w:t>
      </w:r>
      <w:r w:rsidR="00335173" w:rsidRPr="002373FC">
        <w:t xml:space="preserve">âge de </w:t>
      </w:r>
      <w:r w:rsidR="002373FC" w:rsidRPr="002373FC">
        <w:t xml:space="preserve">la </w:t>
      </w:r>
      <w:r w:rsidR="00335173" w:rsidRPr="002373FC">
        <w:t>scolarité obligatoire en 2009-2010</w:t>
      </w:r>
      <w:r w:rsidR="002373FC" w:rsidRPr="002373FC">
        <w:t xml:space="preserve"> et l</w:t>
      </w:r>
      <w:r w:rsidR="00335173" w:rsidRPr="002373FC">
        <w:t xml:space="preserve">es huit autres sont leurs parents. </w:t>
      </w:r>
      <w:r w:rsidR="002373FC" w:rsidRPr="002373FC">
        <w:t>Hormis</w:t>
      </w:r>
      <w:r w:rsidR="00841BFC" w:rsidRPr="002373FC">
        <w:t xml:space="preserve"> une élève </w:t>
      </w:r>
      <w:r w:rsidR="002373FC" w:rsidRPr="002373FC">
        <w:t>de</w:t>
      </w:r>
      <w:r w:rsidR="00841BFC" w:rsidRPr="002373FC">
        <w:t xml:space="preserve"> maternelle, les autres élèves requérants étaient inscrits dans les différentes classes de la manière suivante : sept dans la première, trois dans la seconde, un dans la troisième, deux dans la quatrième et deux dans la sixième.</w:t>
      </w:r>
    </w:p>
    <w:p w:rsidR="000F6FD5" w:rsidRDefault="00FB4A3C" w:rsidP="00335173">
      <w:pPr>
        <w:pStyle w:val="JuPara"/>
      </w:pPr>
      <w:r w:rsidRPr="002373FC">
        <w:fldChar w:fldCharType="begin"/>
      </w:r>
      <w:r w:rsidRPr="002373FC">
        <w:instrText xml:space="preserve"> SEQ level0 \*arabic </w:instrText>
      </w:r>
      <w:r w:rsidRPr="002373FC">
        <w:fldChar w:fldCharType="separate"/>
      </w:r>
      <w:r w:rsidR="00554499">
        <w:rPr>
          <w:noProof/>
        </w:rPr>
        <w:t>11</w:t>
      </w:r>
      <w:r w:rsidRPr="002373FC">
        <w:fldChar w:fldCharType="end"/>
      </w:r>
      <w:r w:rsidRPr="002373FC">
        <w:t>.  </w:t>
      </w:r>
      <w:r w:rsidR="000D3F81" w:rsidRPr="002373FC">
        <w:t>L</w:t>
      </w:r>
      <w:r w:rsidR="008615F7">
        <w:t>’</w:t>
      </w:r>
      <w:r w:rsidR="000D3F81" w:rsidRPr="002373FC">
        <w:t>ensemble de ces élèves, à l</w:t>
      </w:r>
      <w:r w:rsidR="008615F7">
        <w:t>’</w:t>
      </w:r>
      <w:r w:rsidR="000D3F81" w:rsidRPr="002373FC">
        <w:t>exception de Haralambos Kallioras et Dimitra Kalliora, dont la scolarité primaire s</w:t>
      </w:r>
      <w:r w:rsidR="008615F7">
        <w:t>’</w:t>
      </w:r>
      <w:r w:rsidR="007B1077" w:rsidRPr="002373FC">
        <w:t xml:space="preserve">est achevée </w:t>
      </w:r>
      <w:r w:rsidR="000D3F81" w:rsidRPr="002373FC">
        <w:t>en 2009-2010</w:t>
      </w:r>
      <w:r w:rsidR="007B1077" w:rsidRPr="002373FC">
        <w:t>,</w:t>
      </w:r>
      <w:r w:rsidR="000D3F81" w:rsidRPr="002373FC">
        <w:t xml:space="preserve"> </w:t>
      </w:r>
      <w:r w:rsidR="007B1077" w:rsidRPr="002373FC">
        <w:t>et</w:t>
      </w:r>
      <w:r w:rsidR="000D3F81" w:rsidRPr="002373FC">
        <w:t xml:space="preserve"> de Vasiliki-Maria Kalliora</w:t>
      </w:r>
      <w:r w:rsidR="002373FC" w:rsidRPr="002373FC">
        <w:t>,</w:t>
      </w:r>
      <w:r w:rsidR="000D3F81" w:rsidRPr="002373FC">
        <w:t xml:space="preserve"> qui, </w:t>
      </w:r>
      <w:r w:rsidR="007B1077" w:rsidRPr="002373FC">
        <w:t xml:space="preserve">à la </w:t>
      </w:r>
      <w:r w:rsidR="000D3F81" w:rsidRPr="002373FC">
        <w:t xml:space="preserve">suite </w:t>
      </w:r>
      <w:r w:rsidR="007B1077" w:rsidRPr="002373FC">
        <w:t>d</w:t>
      </w:r>
      <w:r w:rsidR="008615F7">
        <w:t>’</w:t>
      </w:r>
      <w:r w:rsidR="007B1077" w:rsidRPr="002373FC">
        <w:t>une</w:t>
      </w:r>
      <w:r w:rsidR="000D3F81" w:rsidRPr="002373FC">
        <w:t xml:space="preserve"> demande de ses parents</w:t>
      </w:r>
      <w:r w:rsidR="007B1077" w:rsidRPr="002373FC">
        <w:t>,</w:t>
      </w:r>
      <w:r w:rsidR="000D3F81" w:rsidRPr="002373FC">
        <w:t xml:space="preserve"> </w:t>
      </w:r>
      <w:r w:rsidR="007B1077" w:rsidRPr="002373FC">
        <w:t xml:space="preserve">a été </w:t>
      </w:r>
      <w:r w:rsidR="000D3F81" w:rsidRPr="002373FC">
        <w:t xml:space="preserve">inscrite pour 2010-2011 à la </w:t>
      </w:r>
      <w:r w:rsidR="00C65AF6" w:rsidRPr="002373FC">
        <w:t>2</w:t>
      </w:r>
      <w:r w:rsidR="00C65AF6" w:rsidRPr="002373FC">
        <w:rPr>
          <w:vertAlign w:val="superscript"/>
        </w:rPr>
        <w:t>e</w:t>
      </w:r>
      <w:r w:rsidR="00C65AF6" w:rsidRPr="002373FC">
        <w:t xml:space="preserve"> </w:t>
      </w:r>
      <w:r w:rsidR="000D3F81" w:rsidRPr="002373FC">
        <w:t xml:space="preserve">école de Sofades, </w:t>
      </w:r>
      <w:r w:rsidR="002373FC" w:rsidRPr="002373FC">
        <w:t xml:space="preserve">ont </w:t>
      </w:r>
      <w:r w:rsidR="000D3F81" w:rsidRPr="002373FC">
        <w:t>continu</w:t>
      </w:r>
      <w:r w:rsidR="002373FC" w:rsidRPr="002373FC">
        <w:t>é</w:t>
      </w:r>
      <w:r w:rsidR="000D3F81" w:rsidRPr="002373FC">
        <w:t xml:space="preserve"> à être scolarisés dans la </w:t>
      </w:r>
      <w:r w:rsidR="00C65AF6" w:rsidRPr="002373FC">
        <w:t>4</w:t>
      </w:r>
      <w:r w:rsidR="00C65AF6" w:rsidRPr="002373FC">
        <w:rPr>
          <w:vertAlign w:val="superscript"/>
        </w:rPr>
        <w:t>e</w:t>
      </w:r>
      <w:r w:rsidR="00C65AF6" w:rsidRPr="002373FC">
        <w:t xml:space="preserve"> </w:t>
      </w:r>
      <w:r w:rsidR="000D3F81" w:rsidRPr="002373FC">
        <w:t>école.</w:t>
      </w:r>
    </w:p>
    <w:p w:rsidR="000D3F81" w:rsidRDefault="00A75FBA" w:rsidP="00335173">
      <w:pPr>
        <w:pStyle w:val="JuPara"/>
      </w:pPr>
      <w:r w:rsidRPr="002373FC">
        <w:fldChar w:fldCharType="begin"/>
      </w:r>
      <w:r w:rsidRPr="002373FC">
        <w:instrText xml:space="preserve"> SEQ level0 \*arabic </w:instrText>
      </w:r>
      <w:r w:rsidRPr="002373FC">
        <w:fldChar w:fldCharType="separate"/>
      </w:r>
      <w:r w:rsidR="00554499">
        <w:rPr>
          <w:noProof/>
        </w:rPr>
        <w:t>12</w:t>
      </w:r>
      <w:r w:rsidRPr="002373FC">
        <w:fldChar w:fldCharType="end"/>
      </w:r>
      <w:r w:rsidRPr="002373FC">
        <w:t>.  </w:t>
      </w:r>
      <w:r w:rsidR="0095388F" w:rsidRPr="002373FC">
        <w:t>Selon le Gouvernement, a</w:t>
      </w:r>
      <w:r w:rsidR="000D3F81" w:rsidRPr="002373FC">
        <w:t xml:space="preserve">ucun des parents concernés, </w:t>
      </w:r>
      <w:r w:rsidR="00BE1D6E" w:rsidRPr="002373FC">
        <w:t xml:space="preserve">excepté </w:t>
      </w:r>
      <w:r w:rsidR="000D3F81" w:rsidRPr="002373FC">
        <w:t>ceux</w:t>
      </w:r>
      <w:r w:rsidR="000D3F81">
        <w:t xml:space="preserve"> de Vasiliki-Maria Kalliora</w:t>
      </w:r>
      <w:r w:rsidR="008850BE">
        <w:t>, n</w:t>
      </w:r>
      <w:r w:rsidR="008615F7">
        <w:t>’</w:t>
      </w:r>
      <w:r w:rsidR="00BE1D6E">
        <w:t>a</w:t>
      </w:r>
      <w:r w:rsidR="008850BE">
        <w:t xml:space="preserve"> réclam</w:t>
      </w:r>
      <w:r w:rsidR="00BE1D6E">
        <w:t>é</w:t>
      </w:r>
      <w:r w:rsidR="008850BE">
        <w:t xml:space="preserve"> ni à la direction de la </w:t>
      </w:r>
      <w:r w:rsidR="00C65AF6">
        <w:t>4</w:t>
      </w:r>
      <w:r w:rsidR="00C65AF6" w:rsidRPr="00C65AF6">
        <w:rPr>
          <w:vertAlign w:val="superscript"/>
        </w:rPr>
        <w:t>e</w:t>
      </w:r>
      <w:r w:rsidR="00C65AF6">
        <w:t xml:space="preserve"> </w:t>
      </w:r>
      <w:r w:rsidR="008850BE">
        <w:t>école ni à la direction de l</w:t>
      </w:r>
      <w:r w:rsidR="008615F7">
        <w:t>’</w:t>
      </w:r>
      <w:r w:rsidR="00BE1D6E">
        <w:t>e</w:t>
      </w:r>
      <w:r w:rsidR="008850BE">
        <w:t xml:space="preserve">nseignement primaire de Karditsa le transfert de leurs enfants dans une autre école de la région en 2009-2010 ou ultérieurement. Le </w:t>
      </w:r>
      <w:r w:rsidR="008850BE">
        <w:rPr>
          <w:noProof/>
        </w:rPr>
        <w:t>secrétaire spécial pour l</w:t>
      </w:r>
      <w:r w:rsidR="008615F7">
        <w:rPr>
          <w:noProof/>
        </w:rPr>
        <w:t>’</w:t>
      </w:r>
      <w:r w:rsidR="008850BE">
        <w:rPr>
          <w:noProof/>
        </w:rPr>
        <w:t>éducation interculturelle au ministère de l</w:t>
      </w:r>
      <w:r w:rsidR="008615F7">
        <w:rPr>
          <w:noProof/>
        </w:rPr>
        <w:t>’</w:t>
      </w:r>
      <w:r w:rsidR="008850BE">
        <w:rPr>
          <w:noProof/>
        </w:rPr>
        <w:t>E</w:t>
      </w:r>
      <w:r w:rsidR="00000ECA">
        <w:rPr>
          <w:noProof/>
        </w:rPr>
        <w:t xml:space="preserve">ducation </w:t>
      </w:r>
      <w:r w:rsidR="00BE1D6E">
        <w:rPr>
          <w:noProof/>
        </w:rPr>
        <w:t xml:space="preserve">aurait </w:t>
      </w:r>
      <w:r w:rsidR="00000ECA">
        <w:rPr>
          <w:noProof/>
        </w:rPr>
        <w:t>confirm</w:t>
      </w:r>
      <w:r w:rsidR="00BE1D6E">
        <w:rPr>
          <w:noProof/>
        </w:rPr>
        <w:t>é</w:t>
      </w:r>
      <w:r w:rsidR="00FC5C09">
        <w:rPr>
          <w:noProof/>
        </w:rPr>
        <w:t>,</w:t>
      </w:r>
      <w:r w:rsidR="00000ECA">
        <w:rPr>
          <w:noProof/>
        </w:rPr>
        <w:t xml:space="preserve"> dans une lett</w:t>
      </w:r>
      <w:r w:rsidR="008850BE">
        <w:rPr>
          <w:noProof/>
        </w:rPr>
        <w:t>re du 19 décembre 2011</w:t>
      </w:r>
      <w:r w:rsidR="0095388F">
        <w:rPr>
          <w:noProof/>
        </w:rPr>
        <w:t xml:space="preserve"> adr</w:t>
      </w:r>
      <w:r w:rsidR="00FC5C09">
        <w:rPr>
          <w:noProof/>
        </w:rPr>
        <w:t>essée au Gouvernement,</w:t>
      </w:r>
      <w:r w:rsidR="008850BE">
        <w:rPr>
          <w:noProof/>
        </w:rPr>
        <w:t xml:space="preserve"> qu</w:t>
      </w:r>
      <w:r w:rsidR="008615F7">
        <w:rPr>
          <w:noProof/>
        </w:rPr>
        <w:t>’</w:t>
      </w:r>
      <w:r w:rsidR="008850BE">
        <w:rPr>
          <w:noProof/>
        </w:rPr>
        <w:t>il n</w:t>
      </w:r>
      <w:r w:rsidR="008615F7">
        <w:rPr>
          <w:noProof/>
        </w:rPr>
        <w:t>’</w:t>
      </w:r>
      <w:r w:rsidR="008850BE">
        <w:rPr>
          <w:noProof/>
        </w:rPr>
        <w:t>avait pas reçu de telle</w:t>
      </w:r>
      <w:r w:rsidR="00C65AF6">
        <w:rPr>
          <w:noProof/>
        </w:rPr>
        <w:t>s</w:t>
      </w:r>
      <w:r w:rsidR="008850BE">
        <w:rPr>
          <w:noProof/>
        </w:rPr>
        <w:t xml:space="preserve"> demande</w:t>
      </w:r>
      <w:r w:rsidR="00C65AF6">
        <w:rPr>
          <w:noProof/>
        </w:rPr>
        <w:t>s</w:t>
      </w:r>
      <w:r w:rsidR="008850BE">
        <w:rPr>
          <w:noProof/>
        </w:rPr>
        <w:t>.</w:t>
      </w:r>
    </w:p>
    <w:p w:rsidR="00335173" w:rsidRDefault="00FB4A3C" w:rsidP="00335173">
      <w:pPr>
        <w:pStyle w:val="JuPara"/>
        <w:rPr>
          <w:noProof/>
        </w:rPr>
      </w:pPr>
      <w:r>
        <w:fldChar w:fldCharType="begin"/>
      </w:r>
      <w:r>
        <w:instrText xml:space="preserve"> SEQ level0 \*arabic </w:instrText>
      </w:r>
      <w:r>
        <w:fldChar w:fldCharType="separate"/>
      </w:r>
      <w:r w:rsidR="00554499">
        <w:rPr>
          <w:noProof/>
        </w:rPr>
        <w:t>13</w:t>
      </w:r>
      <w:r>
        <w:fldChar w:fldCharType="end"/>
      </w:r>
      <w:r>
        <w:t>.  </w:t>
      </w:r>
      <w:r w:rsidR="00335173">
        <w:t>Le 21 mai 2009, une délégation du GHM se rendit au nouveau lotissement</w:t>
      </w:r>
      <w:r w:rsidR="000B2A6F">
        <w:t xml:space="preserve"> des</w:t>
      </w:r>
      <w:r w:rsidR="00335173">
        <w:t xml:space="preserve"> </w:t>
      </w:r>
      <w:r w:rsidR="0080786B">
        <w:t>R</w:t>
      </w:r>
      <w:r w:rsidR="00335173">
        <w:t>om</w:t>
      </w:r>
      <w:r w:rsidR="00CC6B2F">
        <w:t>s et à</w:t>
      </w:r>
      <w:r w:rsidR="000B2A6F">
        <w:t xml:space="preserve"> la </w:t>
      </w:r>
      <w:r w:rsidR="00C65AF6">
        <w:t>4</w:t>
      </w:r>
      <w:r w:rsidR="00C65AF6" w:rsidRPr="00C65AF6">
        <w:rPr>
          <w:vertAlign w:val="superscript"/>
        </w:rPr>
        <w:t>e</w:t>
      </w:r>
      <w:r w:rsidR="00C65AF6">
        <w:t xml:space="preserve"> </w:t>
      </w:r>
      <w:r w:rsidR="000B2A6F">
        <w:t>école</w:t>
      </w:r>
      <w:r w:rsidR="00335173">
        <w:rPr>
          <w:noProof/>
        </w:rPr>
        <w:t>. Le 30 mai et</w:t>
      </w:r>
      <w:r w:rsidR="0080786B">
        <w:rPr>
          <w:noProof/>
        </w:rPr>
        <w:t xml:space="preserve"> le</w:t>
      </w:r>
      <w:r w:rsidR="00335173">
        <w:rPr>
          <w:noProof/>
        </w:rPr>
        <w:t xml:space="preserve"> 20 juillet 2009</w:t>
      </w:r>
      <w:r w:rsidR="001374B8">
        <w:rPr>
          <w:noProof/>
        </w:rPr>
        <w:t xml:space="preserve"> respectivement, la délégation</w:t>
      </w:r>
      <w:r w:rsidR="00335173">
        <w:rPr>
          <w:noProof/>
        </w:rPr>
        <w:t xml:space="preserve"> </w:t>
      </w:r>
      <w:r w:rsidR="0080786B">
        <w:rPr>
          <w:noProof/>
        </w:rPr>
        <w:t xml:space="preserve">écrivit </w:t>
      </w:r>
      <w:r w:rsidR="002373FC">
        <w:rPr>
          <w:noProof/>
        </w:rPr>
        <w:t>une</w:t>
      </w:r>
      <w:r w:rsidR="00335173">
        <w:rPr>
          <w:noProof/>
        </w:rPr>
        <w:t xml:space="preserve"> lettre</w:t>
      </w:r>
      <w:r w:rsidR="002373FC">
        <w:rPr>
          <w:noProof/>
        </w:rPr>
        <w:t xml:space="preserve"> qu</w:t>
      </w:r>
      <w:r w:rsidR="008615F7">
        <w:rPr>
          <w:noProof/>
        </w:rPr>
        <w:t>’</w:t>
      </w:r>
      <w:r w:rsidR="002373FC">
        <w:rPr>
          <w:noProof/>
        </w:rPr>
        <w:t>elle adressa</w:t>
      </w:r>
      <w:r w:rsidR="00335173">
        <w:rPr>
          <w:noProof/>
        </w:rPr>
        <w:t xml:space="preserve"> à M. S.V., secrétaire spécial pour l</w:t>
      </w:r>
      <w:r w:rsidR="008615F7">
        <w:rPr>
          <w:noProof/>
        </w:rPr>
        <w:t>’</w:t>
      </w:r>
      <w:r w:rsidR="00335173">
        <w:rPr>
          <w:noProof/>
        </w:rPr>
        <w:t>éducation interculturelle au ministère de l</w:t>
      </w:r>
      <w:r w:rsidR="008615F7">
        <w:rPr>
          <w:noProof/>
        </w:rPr>
        <w:t>’</w:t>
      </w:r>
      <w:r w:rsidR="00335173">
        <w:rPr>
          <w:noProof/>
        </w:rPr>
        <w:t>Education, et</w:t>
      </w:r>
      <w:r w:rsidR="0080786B">
        <w:rPr>
          <w:noProof/>
        </w:rPr>
        <w:t xml:space="preserve"> </w:t>
      </w:r>
      <w:r w:rsidR="00335173">
        <w:rPr>
          <w:noProof/>
        </w:rPr>
        <w:t>à M. A.S., ministre de l</w:t>
      </w:r>
      <w:r w:rsidR="008615F7">
        <w:rPr>
          <w:noProof/>
        </w:rPr>
        <w:t>’</w:t>
      </w:r>
      <w:r w:rsidR="00335173">
        <w:rPr>
          <w:noProof/>
        </w:rPr>
        <w:t>Education. Ce</w:t>
      </w:r>
      <w:r w:rsidR="002373FC">
        <w:rPr>
          <w:noProof/>
        </w:rPr>
        <w:t>tte</w:t>
      </w:r>
      <w:r w:rsidR="00335173">
        <w:rPr>
          <w:noProof/>
        </w:rPr>
        <w:t xml:space="preserve"> lettre </w:t>
      </w:r>
      <w:r w:rsidR="002373FC">
        <w:rPr>
          <w:noProof/>
        </w:rPr>
        <w:t>se lisait ainsi</w:t>
      </w:r>
      <w:r w:rsidR="00335173">
        <w:rPr>
          <w:noProof/>
        </w:rPr>
        <w:t> :</w:t>
      </w:r>
    </w:p>
    <w:p w:rsidR="00335173" w:rsidRDefault="00335173" w:rsidP="00335173">
      <w:pPr>
        <w:pStyle w:val="JuQuot"/>
        <w:rPr>
          <w:noProof/>
        </w:rPr>
      </w:pPr>
      <w:r>
        <w:rPr>
          <w:noProof/>
        </w:rPr>
        <w:t>« </w:t>
      </w:r>
      <w:r w:rsidR="002373FC">
        <w:rPr>
          <w:noProof/>
        </w:rPr>
        <w:t>Les enfants du</w:t>
      </w:r>
      <w:r>
        <w:rPr>
          <w:noProof/>
        </w:rPr>
        <w:t xml:space="preserve"> nouveau lotissement de Sofades</w:t>
      </w:r>
      <w:r w:rsidR="002373FC">
        <w:rPr>
          <w:noProof/>
        </w:rPr>
        <w:t xml:space="preserve"> –</w:t>
      </w:r>
      <w:r>
        <w:rPr>
          <w:noProof/>
        </w:rPr>
        <w:t xml:space="preserve"> avec ses maisons de 140 m² que l</w:t>
      </w:r>
      <w:r w:rsidR="008615F7">
        <w:rPr>
          <w:noProof/>
        </w:rPr>
        <w:t>’</w:t>
      </w:r>
      <w:r>
        <w:rPr>
          <w:noProof/>
        </w:rPr>
        <w:t xml:space="preserve">Etat </w:t>
      </w:r>
      <w:r w:rsidR="005778AC">
        <w:rPr>
          <w:noProof/>
        </w:rPr>
        <w:t>et</w:t>
      </w:r>
      <w:r>
        <w:rPr>
          <w:noProof/>
        </w:rPr>
        <w:t xml:space="preserve"> tout un chacun considèrent comme un lotissement modèle</w:t>
      </w:r>
      <w:r w:rsidR="002373FC">
        <w:rPr>
          <w:noProof/>
        </w:rPr>
        <w:t xml:space="preserve"> –</w:t>
      </w:r>
      <w:r>
        <w:rPr>
          <w:noProof/>
        </w:rPr>
        <w:t xml:space="preserve"> ne fréquentent pas, comme cela est prévu par la loi, la 1</w:t>
      </w:r>
      <w:r w:rsidRPr="0023255A">
        <w:rPr>
          <w:noProof/>
          <w:vertAlign w:val="superscript"/>
        </w:rPr>
        <w:t>re</w:t>
      </w:r>
      <w:r>
        <w:rPr>
          <w:noProof/>
        </w:rPr>
        <w:t xml:space="preserve"> école primaire de Sofades toute proche, mais la 4</w:t>
      </w:r>
      <w:r w:rsidRPr="0023255A">
        <w:rPr>
          <w:noProof/>
          <w:vertAlign w:val="superscript"/>
        </w:rPr>
        <w:t>e</w:t>
      </w:r>
      <w:r>
        <w:rPr>
          <w:noProof/>
        </w:rPr>
        <w:t xml:space="preserve"> école primaire </w:t>
      </w:r>
      <w:r w:rsidR="005778AC">
        <w:rPr>
          <w:noProof/>
        </w:rPr>
        <w:t xml:space="preserve">– </w:t>
      </w:r>
      <w:r>
        <w:rPr>
          <w:noProof/>
        </w:rPr>
        <w:t>qui se trouve dans l</w:t>
      </w:r>
      <w:r w:rsidR="008615F7">
        <w:rPr>
          <w:noProof/>
        </w:rPr>
        <w:t>’</w:t>
      </w:r>
      <w:r>
        <w:rPr>
          <w:noProof/>
        </w:rPr>
        <w:t xml:space="preserve">ancien lotissement </w:t>
      </w:r>
      <w:r w:rsidR="005778AC">
        <w:rPr>
          <w:noProof/>
        </w:rPr>
        <w:t>r</w:t>
      </w:r>
      <w:r>
        <w:rPr>
          <w:noProof/>
        </w:rPr>
        <w:t xml:space="preserve">om </w:t>
      </w:r>
      <w:r w:rsidR="005778AC">
        <w:rPr>
          <w:noProof/>
        </w:rPr>
        <w:t>–</w:t>
      </w:r>
      <w:r>
        <w:rPr>
          <w:noProof/>
        </w:rPr>
        <w:t xml:space="preserve"> et qui accueille uniquement des élèves </w:t>
      </w:r>
      <w:r w:rsidR="005778AC">
        <w:rPr>
          <w:noProof/>
        </w:rPr>
        <w:t>r</w:t>
      </w:r>
      <w:r>
        <w:rPr>
          <w:noProof/>
        </w:rPr>
        <w:t>om</w:t>
      </w:r>
      <w:r w:rsidR="005778AC">
        <w:rPr>
          <w:noProof/>
        </w:rPr>
        <w:t>s</w:t>
      </w:r>
      <w:r>
        <w:rPr>
          <w:noProof/>
        </w:rPr>
        <w:t xml:space="preserve">. </w:t>
      </w:r>
      <w:r w:rsidR="002373FC">
        <w:rPr>
          <w:noProof/>
        </w:rPr>
        <w:t>Et ce a</w:t>
      </w:r>
      <w:r>
        <w:rPr>
          <w:noProof/>
        </w:rPr>
        <w:t>lors que les élèves qui ne sont pas d</w:t>
      </w:r>
      <w:r w:rsidR="008615F7">
        <w:rPr>
          <w:noProof/>
        </w:rPr>
        <w:t>’</w:t>
      </w:r>
      <w:r>
        <w:rPr>
          <w:noProof/>
        </w:rPr>
        <w:t xml:space="preserve">origine </w:t>
      </w:r>
      <w:r w:rsidR="005778AC">
        <w:rPr>
          <w:noProof/>
        </w:rPr>
        <w:t>r</w:t>
      </w:r>
      <w:r>
        <w:rPr>
          <w:noProof/>
        </w:rPr>
        <w:t>om et qui vivent près de la 4</w:t>
      </w:r>
      <w:r w:rsidRPr="007C7526">
        <w:rPr>
          <w:noProof/>
          <w:vertAlign w:val="superscript"/>
        </w:rPr>
        <w:t>e</w:t>
      </w:r>
      <w:r>
        <w:rPr>
          <w:noProof/>
        </w:rPr>
        <w:t xml:space="preserve"> école primaire (</w:t>
      </w:r>
      <w:r w:rsidR="003759D8">
        <w:rPr>
          <w:noProof/>
        </w:rPr>
        <w:t>...</w:t>
      </w:r>
      <w:r>
        <w:rPr>
          <w:noProof/>
        </w:rPr>
        <w:t>) fréquentent la 1</w:t>
      </w:r>
      <w:r w:rsidRPr="0023255A">
        <w:rPr>
          <w:noProof/>
          <w:vertAlign w:val="superscript"/>
        </w:rPr>
        <w:t>e</w:t>
      </w:r>
      <w:r>
        <w:rPr>
          <w:noProof/>
        </w:rPr>
        <w:t> école primaire de Sofades. En d</w:t>
      </w:r>
      <w:r w:rsidR="008615F7">
        <w:rPr>
          <w:noProof/>
        </w:rPr>
        <w:t>’</w:t>
      </w:r>
      <w:r>
        <w:rPr>
          <w:noProof/>
        </w:rPr>
        <w:t xml:space="preserve">autres </w:t>
      </w:r>
      <w:r w:rsidR="002373FC">
        <w:rPr>
          <w:noProof/>
        </w:rPr>
        <w:t>termes</w:t>
      </w:r>
      <w:r>
        <w:rPr>
          <w:noProof/>
        </w:rPr>
        <w:t>, il existe une ségrégation ethnique claire qui viole tant la loi grecque que les standards internationaux des droits de l</w:t>
      </w:r>
      <w:r w:rsidR="008615F7">
        <w:rPr>
          <w:noProof/>
        </w:rPr>
        <w:t>’</w:t>
      </w:r>
      <w:r>
        <w:rPr>
          <w:noProof/>
        </w:rPr>
        <w:t>homme et</w:t>
      </w:r>
      <w:r w:rsidR="005778AC">
        <w:rPr>
          <w:noProof/>
        </w:rPr>
        <w:t>,</w:t>
      </w:r>
      <w:r>
        <w:rPr>
          <w:noProof/>
        </w:rPr>
        <w:t xml:space="preserve"> en particulier</w:t>
      </w:r>
      <w:r w:rsidR="005778AC">
        <w:rPr>
          <w:noProof/>
        </w:rPr>
        <w:t>,</w:t>
      </w:r>
      <w:r>
        <w:rPr>
          <w:noProof/>
        </w:rPr>
        <w:t xml:space="preserve"> la Convention européenne des droits de l</w:t>
      </w:r>
      <w:r w:rsidR="008615F7">
        <w:rPr>
          <w:noProof/>
        </w:rPr>
        <w:t>’</w:t>
      </w:r>
      <w:r>
        <w:rPr>
          <w:noProof/>
        </w:rPr>
        <w:t>homme, telle qu</w:t>
      </w:r>
      <w:r w:rsidR="008615F7">
        <w:rPr>
          <w:noProof/>
        </w:rPr>
        <w:t>’</w:t>
      </w:r>
      <w:r>
        <w:rPr>
          <w:noProof/>
        </w:rPr>
        <w:t>elle a été interprétée dans l</w:t>
      </w:r>
      <w:r w:rsidR="008615F7">
        <w:rPr>
          <w:noProof/>
        </w:rPr>
        <w:t>’</w:t>
      </w:r>
      <w:r>
        <w:rPr>
          <w:noProof/>
        </w:rPr>
        <w:t xml:space="preserve">affaire </w:t>
      </w:r>
      <w:r w:rsidRPr="002373FC">
        <w:rPr>
          <w:i/>
          <w:noProof/>
        </w:rPr>
        <w:t>Sampanis c. Grèce</w:t>
      </w:r>
      <w:r>
        <w:rPr>
          <w:noProof/>
        </w:rPr>
        <w:t xml:space="preserve"> (</w:t>
      </w:r>
      <w:r w:rsidR="003759D8">
        <w:rPr>
          <w:noProof/>
        </w:rPr>
        <w:t>...</w:t>
      </w:r>
      <w:r>
        <w:rPr>
          <w:noProof/>
        </w:rPr>
        <w:t>).</w:t>
      </w:r>
    </w:p>
    <w:p w:rsidR="000F6FD5" w:rsidRDefault="00335173" w:rsidP="00335173">
      <w:pPr>
        <w:pStyle w:val="JuQuot"/>
        <w:rPr>
          <w:noProof/>
        </w:rPr>
      </w:pPr>
      <w:r>
        <w:rPr>
          <w:noProof/>
        </w:rPr>
        <w:t xml:space="preserve">Les enfants </w:t>
      </w:r>
      <w:r w:rsidR="005778AC">
        <w:rPr>
          <w:noProof/>
        </w:rPr>
        <w:t>r</w:t>
      </w:r>
      <w:r>
        <w:rPr>
          <w:noProof/>
        </w:rPr>
        <w:t>om</w:t>
      </w:r>
      <w:r w:rsidR="005778AC">
        <w:rPr>
          <w:noProof/>
        </w:rPr>
        <w:t>s</w:t>
      </w:r>
      <w:r>
        <w:rPr>
          <w:noProof/>
        </w:rPr>
        <w:t xml:space="preserve"> </w:t>
      </w:r>
      <w:r w:rsidR="002373FC">
        <w:rPr>
          <w:noProof/>
        </w:rPr>
        <w:t>(</w:t>
      </w:r>
      <w:r w:rsidR="003759D8">
        <w:rPr>
          <w:noProof/>
        </w:rPr>
        <w:t>...</w:t>
      </w:r>
      <w:r w:rsidR="002373FC">
        <w:rPr>
          <w:noProof/>
        </w:rPr>
        <w:t>)</w:t>
      </w:r>
      <w:r>
        <w:rPr>
          <w:noProof/>
        </w:rPr>
        <w:t xml:space="preserve"> ont le droit </w:t>
      </w:r>
      <w:r w:rsidR="005778AC">
        <w:rPr>
          <w:noProof/>
        </w:rPr>
        <w:t>de fréquenter</w:t>
      </w:r>
      <w:r>
        <w:rPr>
          <w:noProof/>
        </w:rPr>
        <w:t xml:space="preserve"> cette école proche de leur résidence et de ne pas aller dans des « écoles pour élèves gitans ». A cette dernière catégorie appartiennent la 4</w:t>
      </w:r>
      <w:r w:rsidRPr="007569F7">
        <w:rPr>
          <w:noProof/>
          <w:vertAlign w:val="superscript"/>
        </w:rPr>
        <w:t>e</w:t>
      </w:r>
      <w:r>
        <w:rPr>
          <w:noProof/>
        </w:rPr>
        <w:t xml:space="preserve"> école primaire de Sofades et la 12</w:t>
      </w:r>
      <w:r w:rsidRPr="007569F7">
        <w:rPr>
          <w:noProof/>
          <w:vertAlign w:val="superscript"/>
        </w:rPr>
        <w:t>e</w:t>
      </w:r>
      <w:r>
        <w:rPr>
          <w:noProof/>
        </w:rPr>
        <w:t xml:space="preserve"> école primaire d</w:t>
      </w:r>
      <w:r w:rsidR="008615F7">
        <w:rPr>
          <w:noProof/>
        </w:rPr>
        <w:t>’</w:t>
      </w:r>
      <w:r>
        <w:rPr>
          <w:noProof/>
        </w:rPr>
        <w:t>Aspropyrgos qui sont plus éloignées de leur lieu de résidence que la 1</w:t>
      </w:r>
      <w:r w:rsidRPr="007569F7">
        <w:rPr>
          <w:noProof/>
          <w:vertAlign w:val="superscript"/>
        </w:rPr>
        <w:t>re</w:t>
      </w:r>
      <w:r>
        <w:rPr>
          <w:noProof/>
        </w:rPr>
        <w:t> école primaire de Sofades et la 10</w:t>
      </w:r>
      <w:r w:rsidRPr="007569F7">
        <w:rPr>
          <w:noProof/>
          <w:vertAlign w:val="superscript"/>
        </w:rPr>
        <w:t>e</w:t>
      </w:r>
      <w:r>
        <w:rPr>
          <w:noProof/>
        </w:rPr>
        <w:t xml:space="preserve"> école primaire d</w:t>
      </w:r>
      <w:r w:rsidR="008615F7">
        <w:rPr>
          <w:noProof/>
        </w:rPr>
        <w:t>’</w:t>
      </w:r>
      <w:r>
        <w:rPr>
          <w:noProof/>
        </w:rPr>
        <w:t>Aspropyrgos. L</w:t>
      </w:r>
      <w:r w:rsidR="008615F7">
        <w:rPr>
          <w:noProof/>
        </w:rPr>
        <w:t>’</w:t>
      </w:r>
      <w:r>
        <w:rPr>
          <w:noProof/>
        </w:rPr>
        <w:t>enseignement dans ces « écoles pour élèves gitans » est soit dévalorisé soit inexistant. En tout état de cause, l</w:t>
      </w:r>
      <w:r w:rsidR="008615F7">
        <w:rPr>
          <w:noProof/>
        </w:rPr>
        <w:t>’</w:t>
      </w:r>
      <w:r>
        <w:rPr>
          <w:noProof/>
        </w:rPr>
        <w:t xml:space="preserve">enseignement obligatoire </w:t>
      </w:r>
      <w:r w:rsidR="002373FC">
        <w:rPr>
          <w:noProof/>
        </w:rPr>
        <w:t>est une obligation</w:t>
      </w:r>
      <w:r>
        <w:rPr>
          <w:noProof/>
        </w:rPr>
        <w:t xml:space="preserve"> non seulement </w:t>
      </w:r>
      <w:r w:rsidR="002373FC">
        <w:rPr>
          <w:noProof/>
        </w:rPr>
        <w:t>pour les</w:t>
      </w:r>
      <w:r>
        <w:rPr>
          <w:noProof/>
        </w:rPr>
        <w:t xml:space="preserve"> parents mais aussi </w:t>
      </w:r>
      <w:r w:rsidR="002373FC">
        <w:rPr>
          <w:noProof/>
        </w:rPr>
        <w:t>pour</w:t>
      </w:r>
      <w:r>
        <w:rPr>
          <w:noProof/>
        </w:rPr>
        <w:t xml:space="preserve"> l</w:t>
      </w:r>
      <w:r w:rsidR="008615F7">
        <w:rPr>
          <w:noProof/>
        </w:rPr>
        <w:t>’</w:t>
      </w:r>
      <w:r>
        <w:rPr>
          <w:noProof/>
        </w:rPr>
        <w:t>Etat</w:t>
      </w:r>
      <w:r w:rsidR="005778AC">
        <w:rPr>
          <w:noProof/>
        </w:rPr>
        <w:t>,</w:t>
      </w:r>
      <w:r>
        <w:rPr>
          <w:noProof/>
        </w:rPr>
        <w:t xml:space="preserve"> qui doit l</w:t>
      </w:r>
      <w:r w:rsidR="008615F7">
        <w:rPr>
          <w:noProof/>
        </w:rPr>
        <w:t>’</w:t>
      </w:r>
      <w:r>
        <w:rPr>
          <w:noProof/>
        </w:rPr>
        <w:t>assurer même si les parents sont négligents. L</w:t>
      </w:r>
      <w:r w:rsidR="008615F7">
        <w:rPr>
          <w:noProof/>
        </w:rPr>
        <w:t>’</w:t>
      </w:r>
      <w:r>
        <w:rPr>
          <w:noProof/>
        </w:rPr>
        <w:t xml:space="preserve">Etat devrait fournir </w:t>
      </w:r>
      <w:r w:rsidR="005778AC">
        <w:rPr>
          <w:noProof/>
        </w:rPr>
        <w:t xml:space="preserve">aux enseignants et aux parents respectivement </w:t>
      </w:r>
      <w:r>
        <w:rPr>
          <w:noProof/>
        </w:rPr>
        <w:t>la formation spéciale et le soutien</w:t>
      </w:r>
      <w:r w:rsidR="005E728F" w:rsidRPr="005E728F">
        <w:rPr>
          <w:noProof/>
        </w:rPr>
        <w:t xml:space="preserve"> </w:t>
      </w:r>
      <w:r w:rsidR="005E728F">
        <w:rPr>
          <w:noProof/>
        </w:rPr>
        <w:t>nécessaire</w:t>
      </w:r>
      <w:r>
        <w:rPr>
          <w:noProof/>
        </w:rPr>
        <w:t>. (</w:t>
      </w:r>
      <w:r w:rsidR="003759D8">
        <w:rPr>
          <w:noProof/>
        </w:rPr>
        <w:t>...</w:t>
      </w:r>
      <w:r>
        <w:rPr>
          <w:noProof/>
        </w:rPr>
        <w:t>)</w:t>
      </w:r>
    </w:p>
    <w:p w:rsidR="00335173" w:rsidRDefault="00335173" w:rsidP="00335173">
      <w:pPr>
        <w:pStyle w:val="JuQuot"/>
        <w:rPr>
          <w:noProof/>
        </w:rPr>
      </w:pPr>
      <w:r>
        <w:t>Nous considérons que les Rom</w:t>
      </w:r>
      <w:r w:rsidR="00E60F76">
        <w:t>s</w:t>
      </w:r>
      <w:r>
        <w:t xml:space="preserve"> chrétiens d</w:t>
      </w:r>
      <w:r w:rsidR="008615F7">
        <w:t>’</w:t>
      </w:r>
      <w:r>
        <w:t xml:space="preserve">Ehedoros, </w:t>
      </w:r>
      <w:r w:rsidR="00E60F76">
        <w:t xml:space="preserve">de </w:t>
      </w:r>
      <w:r>
        <w:t xml:space="preserve">Sofades, </w:t>
      </w:r>
      <w:r w:rsidR="00E60F76">
        <w:t>d</w:t>
      </w:r>
      <w:r w:rsidR="008615F7">
        <w:t>’</w:t>
      </w:r>
      <w:r>
        <w:t xml:space="preserve">Aspropyrgos et </w:t>
      </w:r>
      <w:r w:rsidR="00E60F76">
        <w:t xml:space="preserve">de </w:t>
      </w:r>
      <w:r>
        <w:t>Spata ont le droit d</w:t>
      </w:r>
      <w:r w:rsidR="008615F7">
        <w:t>’</w:t>
      </w:r>
      <w:r>
        <w:t xml:space="preserve">avoir accès, à partir de septembre 2009, à des programmes similaires [à ceux qui existent pour les enfants musulmans], de </w:t>
      </w:r>
      <w:r w:rsidR="00E60F76">
        <w:t>façon à limiter</w:t>
      </w:r>
      <w:r>
        <w:t xml:space="preserve"> l</w:t>
      </w:r>
      <w:r w:rsidR="008615F7">
        <w:t>’</w:t>
      </w:r>
      <w:r>
        <w:t xml:space="preserve">échec scolaire. De plus, les enfants </w:t>
      </w:r>
      <w:r w:rsidR="002373FC">
        <w:t>r</w:t>
      </w:r>
      <w:r>
        <w:t>om</w:t>
      </w:r>
      <w:r w:rsidR="00E60F76">
        <w:t>s</w:t>
      </w:r>
      <w:r>
        <w:t xml:space="preserve"> de ces communautés devraient être intégrés dans les écoles les plus proches de leurs lotissements</w:t>
      </w:r>
      <w:r w:rsidR="00E60F76">
        <w:t>,</w:t>
      </w:r>
      <w:r>
        <w:t xml:space="preserve"> </w:t>
      </w:r>
      <w:r w:rsidR="002373FC">
        <w:t xml:space="preserve">écoles </w:t>
      </w:r>
      <w:r>
        <w:t xml:space="preserve">qui ne </w:t>
      </w:r>
      <w:r w:rsidR="00C053FD">
        <w:t xml:space="preserve">devraient </w:t>
      </w:r>
      <w:r>
        <w:t>pas</w:t>
      </w:r>
      <w:r w:rsidR="00C053FD">
        <w:t xml:space="preserve"> être</w:t>
      </w:r>
      <w:r>
        <w:t xml:space="preserve"> des </w:t>
      </w:r>
      <w:r w:rsidR="00C053FD">
        <w:rPr>
          <w:noProof/>
        </w:rPr>
        <w:t>« écoles pour élèves gitans » (</w:t>
      </w:r>
      <w:r w:rsidR="003759D8">
        <w:rPr>
          <w:noProof/>
        </w:rPr>
        <w:t>...</w:t>
      </w:r>
      <w:r w:rsidR="00C053FD">
        <w:rPr>
          <w:noProof/>
        </w:rPr>
        <w:t>)</w:t>
      </w:r>
      <w:r>
        <w:rPr>
          <w:noProof/>
        </w:rPr>
        <w:t> »</w:t>
      </w:r>
    </w:p>
    <w:p w:rsidR="00335173" w:rsidRDefault="00C053FD" w:rsidP="00335173">
      <w:pPr>
        <w:pStyle w:val="JuPara"/>
        <w:rPr>
          <w:noProof/>
        </w:rPr>
      </w:pPr>
      <w:r>
        <w:rPr>
          <w:noProof/>
        </w:rPr>
        <w:fldChar w:fldCharType="begin"/>
      </w:r>
      <w:r>
        <w:rPr>
          <w:noProof/>
        </w:rPr>
        <w:instrText xml:space="preserve"> SEQ level0 \*arabic </w:instrText>
      </w:r>
      <w:r>
        <w:rPr>
          <w:noProof/>
        </w:rPr>
        <w:fldChar w:fldCharType="separate"/>
      </w:r>
      <w:r w:rsidR="00554499">
        <w:rPr>
          <w:noProof/>
        </w:rPr>
        <w:t>14</w:t>
      </w:r>
      <w:r>
        <w:rPr>
          <w:noProof/>
        </w:rPr>
        <w:fldChar w:fldCharType="end"/>
      </w:r>
      <w:r>
        <w:rPr>
          <w:noProof/>
        </w:rPr>
        <w:t>.  </w:t>
      </w:r>
      <w:r w:rsidR="002373FC">
        <w:rPr>
          <w:noProof/>
        </w:rPr>
        <w:t>La</w:t>
      </w:r>
      <w:r w:rsidR="00335173">
        <w:rPr>
          <w:noProof/>
        </w:rPr>
        <w:t xml:space="preserve"> lettre rest</w:t>
      </w:r>
      <w:r w:rsidR="002373FC">
        <w:rPr>
          <w:noProof/>
        </w:rPr>
        <w:t>a</w:t>
      </w:r>
      <w:r w:rsidR="00335173">
        <w:rPr>
          <w:noProof/>
        </w:rPr>
        <w:t xml:space="preserve"> sans réponse.</w:t>
      </w:r>
    </w:p>
    <w:p w:rsidR="000F6FD5" w:rsidRDefault="00FB4A3C" w:rsidP="00335173">
      <w:pPr>
        <w:pStyle w:val="JuPara"/>
        <w:rPr>
          <w:noProof/>
        </w:rPr>
      </w:pPr>
      <w:r>
        <w:rPr>
          <w:noProof/>
        </w:rPr>
        <w:fldChar w:fldCharType="begin"/>
      </w:r>
      <w:r>
        <w:rPr>
          <w:noProof/>
        </w:rPr>
        <w:instrText xml:space="preserve"> SEQ level0 \*arabic </w:instrText>
      </w:r>
      <w:r>
        <w:rPr>
          <w:noProof/>
        </w:rPr>
        <w:fldChar w:fldCharType="separate"/>
      </w:r>
      <w:r w:rsidR="00554499">
        <w:rPr>
          <w:noProof/>
        </w:rPr>
        <w:t>15</w:t>
      </w:r>
      <w:r>
        <w:rPr>
          <w:noProof/>
        </w:rPr>
        <w:fldChar w:fldCharType="end"/>
      </w:r>
      <w:r>
        <w:rPr>
          <w:noProof/>
        </w:rPr>
        <w:t>.  </w:t>
      </w:r>
      <w:r w:rsidR="00335173">
        <w:rPr>
          <w:noProof/>
        </w:rPr>
        <w:t xml:space="preserve">Le 27 août 2009, </w:t>
      </w:r>
      <w:r w:rsidR="00BB65CE">
        <w:rPr>
          <w:noProof/>
        </w:rPr>
        <w:t xml:space="preserve">le </w:t>
      </w:r>
      <w:r w:rsidR="00335173">
        <w:rPr>
          <w:noProof/>
        </w:rPr>
        <w:t>GHM écrivit aussi au médiateur de la République</w:t>
      </w:r>
      <w:r w:rsidR="00E60F76">
        <w:rPr>
          <w:noProof/>
        </w:rPr>
        <w:t xml:space="preserve"> sans obtenir de réaction</w:t>
      </w:r>
      <w:r w:rsidR="00335173">
        <w:rPr>
          <w:noProof/>
        </w:rPr>
        <w:t>.</w:t>
      </w:r>
    </w:p>
    <w:p w:rsidR="00E3461E" w:rsidRDefault="00E3461E" w:rsidP="00335173">
      <w:pPr>
        <w:pStyle w:val="JuPara"/>
        <w:rPr>
          <w:noProof/>
        </w:rPr>
      </w:pPr>
      <w:r>
        <w:rPr>
          <w:noProof/>
        </w:rPr>
        <w:fldChar w:fldCharType="begin"/>
      </w:r>
      <w:r>
        <w:rPr>
          <w:noProof/>
        </w:rPr>
        <w:instrText xml:space="preserve"> SEQ level0 \*arabic </w:instrText>
      </w:r>
      <w:r>
        <w:rPr>
          <w:noProof/>
        </w:rPr>
        <w:fldChar w:fldCharType="separate"/>
      </w:r>
      <w:r w:rsidR="00554499">
        <w:rPr>
          <w:noProof/>
        </w:rPr>
        <w:t>16</w:t>
      </w:r>
      <w:r>
        <w:rPr>
          <w:noProof/>
        </w:rPr>
        <w:fldChar w:fldCharType="end"/>
      </w:r>
      <w:r>
        <w:rPr>
          <w:noProof/>
        </w:rPr>
        <w:t>.  </w:t>
      </w:r>
      <w:r w:rsidR="00311F93">
        <w:rPr>
          <w:noProof/>
        </w:rPr>
        <w:t xml:space="preserve">Les parents requérants allèguent que, </w:t>
      </w:r>
      <w:r w:rsidR="00BB65CE">
        <w:rPr>
          <w:noProof/>
        </w:rPr>
        <w:t xml:space="preserve">à </w:t>
      </w:r>
      <w:r>
        <w:rPr>
          <w:noProof/>
        </w:rPr>
        <w:t>une date non précisé</w:t>
      </w:r>
      <w:r w:rsidR="00311F93">
        <w:rPr>
          <w:noProof/>
        </w:rPr>
        <w:t>e</w:t>
      </w:r>
      <w:r>
        <w:rPr>
          <w:noProof/>
        </w:rPr>
        <w:t xml:space="preserve"> en septembre 2009</w:t>
      </w:r>
      <w:r w:rsidR="00311F93">
        <w:rPr>
          <w:noProof/>
        </w:rPr>
        <w:t xml:space="preserve">, </w:t>
      </w:r>
      <w:r>
        <w:rPr>
          <w:noProof/>
        </w:rPr>
        <w:t xml:space="preserve">ils </w:t>
      </w:r>
      <w:r w:rsidR="00311F93">
        <w:rPr>
          <w:noProof/>
        </w:rPr>
        <w:t xml:space="preserve">ont </w:t>
      </w:r>
      <w:r>
        <w:rPr>
          <w:noProof/>
        </w:rPr>
        <w:t>demand</w:t>
      </w:r>
      <w:r w:rsidR="00311F93">
        <w:rPr>
          <w:noProof/>
        </w:rPr>
        <w:t>é</w:t>
      </w:r>
      <w:r>
        <w:rPr>
          <w:noProof/>
        </w:rPr>
        <w:t xml:space="preserve"> au directeur de la 1</w:t>
      </w:r>
      <w:r w:rsidR="00BB65CE" w:rsidRPr="00BB65CE">
        <w:rPr>
          <w:noProof/>
          <w:vertAlign w:val="superscript"/>
        </w:rPr>
        <w:t>r</w:t>
      </w:r>
      <w:r w:rsidRPr="00E3461E">
        <w:rPr>
          <w:noProof/>
          <w:vertAlign w:val="superscript"/>
        </w:rPr>
        <w:t>e</w:t>
      </w:r>
      <w:r>
        <w:rPr>
          <w:noProof/>
        </w:rPr>
        <w:t xml:space="preserve"> école primaire de Sofades d</w:t>
      </w:r>
      <w:r w:rsidR="008615F7">
        <w:rPr>
          <w:noProof/>
        </w:rPr>
        <w:t>’</w:t>
      </w:r>
      <w:r w:rsidR="00BB65CE">
        <w:rPr>
          <w:noProof/>
        </w:rPr>
        <w:t>accepter l</w:t>
      </w:r>
      <w:r w:rsidR="008615F7">
        <w:rPr>
          <w:noProof/>
        </w:rPr>
        <w:t>’</w:t>
      </w:r>
      <w:r w:rsidR="00BB65CE">
        <w:rPr>
          <w:noProof/>
        </w:rPr>
        <w:t>inscription de</w:t>
      </w:r>
      <w:r>
        <w:rPr>
          <w:noProof/>
        </w:rPr>
        <w:t xml:space="preserve"> leurs enfants</w:t>
      </w:r>
      <w:r w:rsidR="00BB65CE">
        <w:rPr>
          <w:noProof/>
        </w:rPr>
        <w:t>. C</w:t>
      </w:r>
      <w:r>
        <w:rPr>
          <w:noProof/>
        </w:rPr>
        <w:t xml:space="preserve">elui-ci </w:t>
      </w:r>
      <w:r w:rsidR="00311F93">
        <w:rPr>
          <w:noProof/>
        </w:rPr>
        <w:t>a</w:t>
      </w:r>
      <w:r w:rsidR="00BB65CE">
        <w:rPr>
          <w:noProof/>
        </w:rPr>
        <w:t>urait</w:t>
      </w:r>
      <w:r w:rsidR="00311F93">
        <w:rPr>
          <w:noProof/>
        </w:rPr>
        <w:t xml:space="preserve"> </w:t>
      </w:r>
      <w:r>
        <w:rPr>
          <w:noProof/>
        </w:rPr>
        <w:t>refus</w:t>
      </w:r>
      <w:r w:rsidR="00311F93">
        <w:rPr>
          <w:noProof/>
        </w:rPr>
        <w:t>é</w:t>
      </w:r>
      <w:r>
        <w:rPr>
          <w:noProof/>
        </w:rPr>
        <w:t xml:space="preserve"> </w:t>
      </w:r>
      <w:r w:rsidR="00BB65CE">
        <w:rPr>
          <w:noProof/>
        </w:rPr>
        <w:t>et aurait soutenu</w:t>
      </w:r>
      <w:r w:rsidR="00311F93">
        <w:rPr>
          <w:noProof/>
        </w:rPr>
        <w:t xml:space="preserve"> </w:t>
      </w:r>
      <w:r>
        <w:rPr>
          <w:noProof/>
        </w:rPr>
        <w:t>que les autorités con</w:t>
      </w:r>
      <w:r w:rsidR="00311F93">
        <w:rPr>
          <w:noProof/>
        </w:rPr>
        <w:t>s</w:t>
      </w:r>
      <w:r>
        <w:rPr>
          <w:noProof/>
        </w:rPr>
        <w:t>idéraient que ces enfants devaient continuer à fréquenter la 4</w:t>
      </w:r>
      <w:r w:rsidRPr="00E3461E">
        <w:rPr>
          <w:noProof/>
          <w:vertAlign w:val="superscript"/>
        </w:rPr>
        <w:t>e</w:t>
      </w:r>
      <w:r w:rsidR="008D056C">
        <w:rPr>
          <w:noProof/>
        </w:rPr>
        <w:t> </w:t>
      </w:r>
      <w:r>
        <w:rPr>
          <w:noProof/>
        </w:rPr>
        <w:t>école.</w:t>
      </w:r>
    </w:p>
    <w:p w:rsidR="00010792" w:rsidRDefault="00010792" w:rsidP="00335173">
      <w:pPr>
        <w:pStyle w:val="JuPara"/>
        <w:rPr>
          <w:noProof/>
        </w:rPr>
      </w:pPr>
      <w:r>
        <w:rPr>
          <w:noProof/>
        </w:rPr>
        <w:fldChar w:fldCharType="begin"/>
      </w:r>
      <w:r>
        <w:rPr>
          <w:noProof/>
        </w:rPr>
        <w:instrText xml:space="preserve"> SEQ level0 \*arabic </w:instrText>
      </w:r>
      <w:r>
        <w:rPr>
          <w:noProof/>
        </w:rPr>
        <w:fldChar w:fldCharType="separate"/>
      </w:r>
      <w:r w:rsidR="00554499">
        <w:rPr>
          <w:noProof/>
        </w:rPr>
        <w:t>17</w:t>
      </w:r>
      <w:r>
        <w:rPr>
          <w:noProof/>
        </w:rPr>
        <w:fldChar w:fldCharType="end"/>
      </w:r>
      <w:r>
        <w:rPr>
          <w:noProof/>
        </w:rPr>
        <w:t xml:space="preserve">.  Le 29 septembre 2009, la </w:t>
      </w:r>
      <w:r w:rsidR="00311F93">
        <w:rPr>
          <w:noProof/>
        </w:rPr>
        <w:t>d</w:t>
      </w:r>
      <w:r>
        <w:rPr>
          <w:noProof/>
        </w:rPr>
        <w:t>irection régionale de l</w:t>
      </w:r>
      <w:r w:rsidR="008615F7">
        <w:rPr>
          <w:noProof/>
        </w:rPr>
        <w:t>’</w:t>
      </w:r>
      <w:r>
        <w:rPr>
          <w:noProof/>
        </w:rPr>
        <w:t>éducation de Th</w:t>
      </w:r>
      <w:r w:rsidR="00F37825">
        <w:rPr>
          <w:noProof/>
        </w:rPr>
        <w:t>e</w:t>
      </w:r>
      <w:r>
        <w:rPr>
          <w:noProof/>
        </w:rPr>
        <w:t xml:space="preserve">ssalie </w:t>
      </w:r>
      <w:r w:rsidR="00BB65CE">
        <w:rPr>
          <w:noProof/>
        </w:rPr>
        <w:t>adressa</w:t>
      </w:r>
      <w:r>
        <w:rPr>
          <w:noProof/>
        </w:rPr>
        <w:t xml:space="preserve"> au ministère de l</w:t>
      </w:r>
      <w:r w:rsidR="008615F7">
        <w:rPr>
          <w:noProof/>
        </w:rPr>
        <w:t>’</w:t>
      </w:r>
      <w:r>
        <w:rPr>
          <w:noProof/>
        </w:rPr>
        <w:t xml:space="preserve">Education un rapport relatif au fonctionnement des écoles de Sofades et </w:t>
      </w:r>
      <w:r w:rsidR="00311F93">
        <w:rPr>
          <w:noProof/>
        </w:rPr>
        <w:t xml:space="preserve">à </w:t>
      </w:r>
      <w:r>
        <w:rPr>
          <w:noProof/>
        </w:rPr>
        <w:t xml:space="preserve">la scolarisation des enfants roms, dont les parties pertinentes </w:t>
      </w:r>
      <w:r w:rsidR="00311F93">
        <w:rPr>
          <w:noProof/>
        </w:rPr>
        <w:t>en l</w:t>
      </w:r>
      <w:r w:rsidR="008615F7">
        <w:rPr>
          <w:noProof/>
        </w:rPr>
        <w:t>’</w:t>
      </w:r>
      <w:r w:rsidR="00311F93">
        <w:rPr>
          <w:noProof/>
        </w:rPr>
        <w:t xml:space="preserve">espèce </w:t>
      </w:r>
      <w:r>
        <w:rPr>
          <w:noProof/>
        </w:rPr>
        <w:t>se lisent ainsi :</w:t>
      </w:r>
    </w:p>
    <w:p w:rsidR="00010792" w:rsidRDefault="00010792" w:rsidP="00515D0F">
      <w:pPr>
        <w:pStyle w:val="JuQuot"/>
        <w:rPr>
          <w:noProof/>
        </w:rPr>
      </w:pPr>
      <w:r>
        <w:rPr>
          <w:noProof/>
        </w:rPr>
        <w:t>« (</w:t>
      </w:r>
      <w:r w:rsidR="003759D8">
        <w:rPr>
          <w:noProof/>
        </w:rPr>
        <w:t>...</w:t>
      </w:r>
      <w:r>
        <w:rPr>
          <w:noProof/>
        </w:rPr>
        <w:t>)</w:t>
      </w:r>
    </w:p>
    <w:p w:rsidR="00010792" w:rsidRPr="00BB65CE" w:rsidRDefault="00010792" w:rsidP="00515D0F">
      <w:pPr>
        <w:pStyle w:val="JuQuot"/>
        <w:rPr>
          <w:noProof/>
        </w:rPr>
      </w:pPr>
      <w:r w:rsidRPr="00BB65CE">
        <w:rPr>
          <w:noProof/>
        </w:rPr>
        <w:t>A la 4</w:t>
      </w:r>
      <w:r w:rsidRPr="00BB65CE">
        <w:rPr>
          <w:noProof/>
          <w:vertAlign w:val="superscript"/>
        </w:rPr>
        <w:t>e</w:t>
      </w:r>
      <w:r w:rsidRPr="00BB65CE">
        <w:rPr>
          <w:noProof/>
        </w:rPr>
        <w:t xml:space="preserve"> école primaire de Sofades sont inscrits 511 élèves qui suivent </w:t>
      </w:r>
      <w:r w:rsidR="00BB65CE" w:rsidRPr="00BB65CE">
        <w:rPr>
          <w:noProof/>
        </w:rPr>
        <w:t>l</w:t>
      </w:r>
      <w:r w:rsidRPr="00BB65CE">
        <w:rPr>
          <w:noProof/>
        </w:rPr>
        <w:t xml:space="preserve">es cours </w:t>
      </w:r>
      <w:r w:rsidR="00BB65CE" w:rsidRPr="00BB65CE">
        <w:rPr>
          <w:noProof/>
        </w:rPr>
        <w:t>de manière sporadique,</w:t>
      </w:r>
      <w:r w:rsidRPr="00BB65CE">
        <w:rPr>
          <w:noProof/>
        </w:rPr>
        <w:t xml:space="preserve"> à des périodes </w:t>
      </w:r>
      <w:r w:rsidR="00C12672" w:rsidRPr="00BB65CE">
        <w:rPr>
          <w:noProof/>
        </w:rPr>
        <w:t xml:space="preserve">qui sont fonction </w:t>
      </w:r>
      <w:r w:rsidRPr="00BB65CE">
        <w:rPr>
          <w:noProof/>
        </w:rPr>
        <w:t xml:space="preserve">du déplacement de leurs parents roms. </w:t>
      </w:r>
      <w:r w:rsidR="00EA4EAF">
        <w:rPr>
          <w:noProof/>
        </w:rPr>
        <w:t>Les limites des secteurs scolaires rattachés à</w:t>
      </w:r>
      <w:r w:rsidR="00043CCD" w:rsidRPr="00BB65CE">
        <w:rPr>
          <w:noProof/>
        </w:rPr>
        <w:t xml:space="preserve"> la 1</w:t>
      </w:r>
      <w:r w:rsidR="00043CCD" w:rsidRPr="00BB65CE">
        <w:rPr>
          <w:noProof/>
          <w:vertAlign w:val="superscript"/>
        </w:rPr>
        <w:t>re</w:t>
      </w:r>
      <w:r w:rsidR="00043CCD" w:rsidRPr="00BB65CE">
        <w:rPr>
          <w:noProof/>
        </w:rPr>
        <w:t xml:space="preserve"> école primaire et</w:t>
      </w:r>
      <w:r w:rsidR="00EA4EAF">
        <w:rPr>
          <w:noProof/>
        </w:rPr>
        <w:t xml:space="preserve"> à</w:t>
      </w:r>
      <w:r w:rsidR="00043CCD" w:rsidRPr="00BB65CE">
        <w:rPr>
          <w:noProof/>
        </w:rPr>
        <w:t xml:space="preserve"> la 2</w:t>
      </w:r>
      <w:r w:rsidR="00043CCD" w:rsidRPr="00BB65CE">
        <w:rPr>
          <w:noProof/>
          <w:vertAlign w:val="superscript"/>
        </w:rPr>
        <w:t>e</w:t>
      </w:r>
      <w:r w:rsidR="00043CCD" w:rsidRPr="00BB65CE">
        <w:rPr>
          <w:noProof/>
        </w:rPr>
        <w:t xml:space="preserve"> et </w:t>
      </w:r>
      <w:r w:rsidR="00EA4EAF">
        <w:rPr>
          <w:noProof/>
        </w:rPr>
        <w:t>à</w:t>
      </w:r>
      <w:r w:rsidR="00043CCD" w:rsidRPr="00BB65CE">
        <w:rPr>
          <w:noProof/>
        </w:rPr>
        <w:t xml:space="preserve"> la 3</w:t>
      </w:r>
      <w:r w:rsidR="00043CCD" w:rsidRPr="00BB65CE">
        <w:rPr>
          <w:noProof/>
          <w:vertAlign w:val="superscript"/>
        </w:rPr>
        <w:t>e</w:t>
      </w:r>
      <w:r w:rsidR="00043CCD" w:rsidRPr="00BB65CE">
        <w:rPr>
          <w:noProof/>
        </w:rPr>
        <w:t xml:space="preserve"> école (qui partagent les locaux et ac</w:t>
      </w:r>
      <w:r w:rsidR="00C12672" w:rsidRPr="00BB65CE">
        <w:rPr>
          <w:noProof/>
        </w:rPr>
        <w:t>c</w:t>
      </w:r>
      <w:r w:rsidR="00043CCD" w:rsidRPr="00BB65CE">
        <w:rPr>
          <w:noProof/>
        </w:rPr>
        <w:t>ueillent respectivement 82, 84 et 84 élèves) sont fixés en conséquence.</w:t>
      </w:r>
    </w:p>
    <w:p w:rsidR="00043CCD" w:rsidRDefault="00043CCD" w:rsidP="00515D0F">
      <w:pPr>
        <w:pStyle w:val="JuQuot"/>
        <w:rPr>
          <w:noProof/>
        </w:rPr>
      </w:pPr>
      <w:r w:rsidRPr="00BB65CE">
        <w:rPr>
          <w:noProof/>
        </w:rPr>
        <w:t>(</w:t>
      </w:r>
      <w:r w:rsidR="003759D8">
        <w:rPr>
          <w:noProof/>
        </w:rPr>
        <w:t>...</w:t>
      </w:r>
      <w:r w:rsidRPr="00BB65CE">
        <w:rPr>
          <w:noProof/>
        </w:rPr>
        <w:t>)</w:t>
      </w:r>
    </w:p>
    <w:p w:rsidR="00043CCD" w:rsidRDefault="00AC12FE" w:rsidP="00515D0F">
      <w:pPr>
        <w:pStyle w:val="JuQuot"/>
        <w:rPr>
          <w:noProof/>
        </w:rPr>
      </w:pPr>
      <w:r>
        <w:rPr>
          <w:noProof/>
        </w:rPr>
        <w:t>Le 14 août 2008 (</w:t>
      </w:r>
      <w:r w:rsidR="003759D8">
        <w:rPr>
          <w:noProof/>
        </w:rPr>
        <w:t>...</w:t>
      </w:r>
      <w:r>
        <w:rPr>
          <w:noProof/>
        </w:rPr>
        <w:t>), afin de mettre un terme à l</w:t>
      </w:r>
      <w:r w:rsidR="008615F7">
        <w:rPr>
          <w:noProof/>
        </w:rPr>
        <w:t>’</w:t>
      </w:r>
      <w:r>
        <w:rPr>
          <w:noProof/>
        </w:rPr>
        <w:t>exclusion sociale et de promouvoir l</w:t>
      </w:r>
      <w:r w:rsidR="008615F7">
        <w:rPr>
          <w:noProof/>
        </w:rPr>
        <w:t>’</w:t>
      </w:r>
      <w:r>
        <w:rPr>
          <w:noProof/>
        </w:rPr>
        <w:t xml:space="preserve">intégration des </w:t>
      </w:r>
      <w:r w:rsidR="00C12672">
        <w:rPr>
          <w:noProof/>
        </w:rPr>
        <w:t>R</w:t>
      </w:r>
      <w:r>
        <w:rPr>
          <w:noProof/>
        </w:rPr>
        <w:t xml:space="preserve">oms </w:t>
      </w:r>
      <w:r w:rsidR="00C12672">
        <w:rPr>
          <w:noProof/>
        </w:rPr>
        <w:t>à</w:t>
      </w:r>
      <w:r>
        <w:rPr>
          <w:noProof/>
        </w:rPr>
        <w:t xml:space="preserve"> tous les niveaux et </w:t>
      </w:r>
      <w:r w:rsidR="00C12672">
        <w:rPr>
          <w:noProof/>
        </w:rPr>
        <w:t xml:space="preserve">dans toutes les </w:t>
      </w:r>
      <w:r>
        <w:rPr>
          <w:noProof/>
        </w:rPr>
        <w:t>activités de la société locale, nous avons jugé opportun de souligner (</w:t>
      </w:r>
      <w:r w:rsidR="003759D8">
        <w:rPr>
          <w:noProof/>
        </w:rPr>
        <w:t>...</w:t>
      </w:r>
      <w:r>
        <w:rPr>
          <w:noProof/>
        </w:rPr>
        <w:t>) qu</w:t>
      </w:r>
      <w:r w:rsidR="008615F7">
        <w:rPr>
          <w:noProof/>
        </w:rPr>
        <w:t>’</w:t>
      </w:r>
      <w:r>
        <w:rPr>
          <w:noProof/>
        </w:rPr>
        <w:t>il fa</w:t>
      </w:r>
      <w:r w:rsidR="00C12672">
        <w:rPr>
          <w:noProof/>
        </w:rPr>
        <w:t>udrait</w:t>
      </w:r>
      <w:r>
        <w:rPr>
          <w:noProof/>
        </w:rPr>
        <w:t xml:space="preserve"> éviter que les </w:t>
      </w:r>
      <w:r w:rsidR="00C12672">
        <w:rPr>
          <w:noProof/>
        </w:rPr>
        <w:t>R</w:t>
      </w:r>
      <w:r>
        <w:rPr>
          <w:noProof/>
        </w:rPr>
        <w:t>oms soient scolarisés dans des écoles ayant exclusivement une population rom et</w:t>
      </w:r>
      <w:r w:rsidR="00EE15DA">
        <w:rPr>
          <w:noProof/>
        </w:rPr>
        <w:t xml:space="preserve"> de</w:t>
      </w:r>
      <w:r>
        <w:rPr>
          <w:noProof/>
        </w:rPr>
        <w:t xml:space="preserve"> suggérer la construction de nouvelles écoles afin de procéder à </w:t>
      </w:r>
      <w:r w:rsidR="00EA4EAF">
        <w:rPr>
          <w:noProof/>
        </w:rPr>
        <w:t>un redécoupage de la carte scolaire</w:t>
      </w:r>
      <w:r w:rsidR="00701E62">
        <w:rPr>
          <w:noProof/>
        </w:rPr>
        <w:t>.</w:t>
      </w:r>
    </w:p>
    <w:p w:rsidR="00701E62" w:rsidRPr="00EE15DA" w:rsidRDefault="00701E62" w:rsidP="00515D0F">
      <w:pPr>
        <w:pStyle w:val="JuQuot"/>
        <w:rPr>
          <w:noProof/>
        </w:rPr>
      </w:pPr>
      <w:r>
        <w:rPr>
          <w:noProof/>
        </w:rPr>
        <w:t>Le conseil municipal de Sofades nous a envoyé le c</w:t>
      </w:r>
      <w:r w:rsidR="008D056C">
        <w:rPr>
          <w:noProof/>
        </w:rPr>
        <w:t>ompte rendu de sa réunion du 18 </w:t>
      </w:r>
      <w:r>
        <w:rPr>
          <w:noProof/>
        </w:rPr>
        <w:t>décembre 2008 par lequel il nous faisait savoir qu</w:t>
      </w:r>
      <w:r w:rsidR="008615F7">
        <w:rPr>
          <w:noProof/>
        </w:rPr>
        <w:t>’</w:t>
      </w:r>
      <w:r>
        <w:rPr>
          <w:noProof/>
        </w:rPr>
        <w:t xml:space="preserve">il ne souhaitait pas la suppression des écoles </w:t>
      </w:r>
      <w:r w:rsidR="00865E36">
        <w:rPr>
          <w:noProof/>
        </w:rPr>
        <w:t>[4</w:t>
      </w:r>
      <w:r w:rsidR="00865E36" w:rsidRPr="00865E36">
        <w:rPr>
          <w:noProof/>
          <w:vertAlign w:val="superscript"/>
        </w:rPr>
        <w:t>e</w:t>
      </w:r>
      <w:r w:rsidR="00865E36">
        <w:rPr>
          <w:noProof/>
        </w:rPr>
        <w:t xml:space="preserve"> école primaire et 4</w:t>
      </w:r>
      <w:r w:rsidR="00865E36" w:rsidRPr="00865E36">
        <w:rPr>
          <w:noProof/>
          <w:vertAlign w:val="superscript"/>
        </w:rPr>
        <w:t>e</w:t>
      </w:r>
      <w:r w:rsidR="00865E36">
        <w:rPr>
          <w:noProof/>
        </w:rPr>
        <w:t xml:space="preserve"> école maternelle] </w:t>
      </w:r>
      <w:r>
        <w:rPr>
          <w:noProof/>
        </w:rPr>
        <w:t xml:space="preserve">dans les deux </w:t>
      </w:r>
      <w:r w:rsidRPr="00EE15DA">
        <w:rPr>
          <w:noProof/>
        </w:rPr>
        <w:t xml:space="preserve">lotissements des </w:t>
      </w:r>
      <w:r w:rsidR="00C12672" w:rsidRPr="00EE15DA">
        <w:rPr>
          <w:noProof/>
        </w:rPr>
        <w:t>R</w:t>
      </w:r>
      <w:r w:rsidRPr="00EE15DA">
        <w:rPr>
          <w:noProof/>
        </w:rPr>
        <w:t>oms (</w:t>
      </w:r>
      <w:r w:rsidR="003759D8">
        <w:rPr>
          <w:noProof/>
        </w:rPr>
        <w:t>...</w:t>
      </w:r>
      <w:r w:rsidRPr="00EE15DA">
        <w:rPr>
          <w:noProof/>
        </w:rPr>
        <w:t>).</w:t>
      </w:r>
    </w:p>
    <w:p w:rsidR="00701E62" w:rsidRPr="00EE15DA" w:rsidRDefault="00701E62" w:rsidP="00515D0F">
      <w:pPr>
        <w:pStyle w:val="JuQuot"/>
        <w:rPr>
          <w:noProof/>
        </w:rPr>
      </w:pPr>
      <w:r w:rsidRPr="00EE15DA">
        <w:rPr>
          <w:noProof/>
        </w:rPr>
        <w:t>Nous avons répondu à la commune de Sofades le 5 juin 2009 en prenant soin de ne pas entrer en conflit avec elle et la société locale</w:t>
      </w:r>
      <w:r w:rsidR="00865E36" w:rsidRPr="00EE15DA">
        <w:rPr>
          <w:noProof/>
        </w:rPr>
        <w:t>.</w:t>
      </w:r>
    </w:p>
    <w:p w:rsidR="00865E36" w:rsidRDefault="00865E36" w:rsidP="00515D0F">
      <w:pPr>
        <w:pStyle w:val="JuQuot"/>
        <w:rPr>
          <w:noProof/>
        </w:rPr>
      </w:pPr>
      <w:r w:rsidRPr="00EE15DA">
        <w:rPr>
          <w:noProof/>
        </w:rPr>
        <w:t>(</w:t>
      </w:r>
      <w:r w:rsidR="003759D8">
        <w:rPr>
          <w:noProof/>
        </w:rPr>
        <w:t>...</w:t>
      </w:r>
      <w:r w:rsidRPr="00EE15DA">
        <w:rPr>
          <w:noProof/>
        </w:rPr>
        <w:t>) il est de notre avis qu</w:t>
      </w:r>
      <w:r w:rsidR="008615F7">
        <w:rPr>
          <w:noProof/>
        </w:rPr>
        <w:t>’</w:t>
      </w:r>
      <w:r w:rsidRPr="00EE15DA">
        <w:rPr>
          <w:noProof/>
        </w:rPr>
        <w:t>il faudrait construire de nouvelles écoles à l</w:t>
      </w:r>
      <w:r w:rsidR="008615F7">
        <w:rPr>
          <w:noProof/>
        </w:rPr>
        <w:t>’</w:t>
      </w:r>
      <w:r w:rsidRPr="00EE15DA">
        <w:rPr>
          <w:noProof/>
        </w:rPr>
        <w:t>intérieur du lotissement avec des espaces de loisirs et</w:t>
      </w:r>
      <w:r w:rsidR="00C12672" w:rsidRPr="00EE15DA">
        <w:rPr>
          <w:noProof/>
        </w:rPr>
        <w:t xml:space="preserve"> des espaces sportifs</w:t>
      </w:r>
      <w:r w:rsidRPr="00EE15DA">
        <w:rPr>
          <w:noProof/>
        </w:rPr>
        <w:t xml:space="preserve"> en conformité avec les souhaits des parents tels qu</w:t>
      </w:r>
      <w:r w:rsidR="008615F7">
        <w:rPr>
          <w:noProof/>
        </w:rPr>
        <w:t>’</w:t>
      </w:r>
      <w:r w:rsidRPr="00EE15DA">
        <w:rPr>
          <w:noProof/>
        </w:rPr>
        <w:t xml:space="preserve">exprimés auprès de notre </w:t>
      </w:r>
      <w:r w:rsidR="00C12672" w:rsidRPr="00EE15DA">
        <w:rPr>
          <w:noProof/>
        </w:rPr>
        <w:t>s</w:t>
      </w:r>
      <w:r w:rsidRPr="00EE15DA">
        <w:rPr>
          <w:noProof/>
        </w:rPr>
        <w:t xml:space="preserve">ervice et </w:t>
      </w:r>
      <w:r w:rsidR="00C12672" w:rsidRPr="00EE15DA">
        <w:rPr>
          <w:noProof/>
        </w:rPr>
        <w:t>du</w:t>
      </w:r>
      <w:r w:rsidRPr="00EE15DA">
        <w:rPr>
          <w:noProof/>
        </w:rPr>
        <w:t xml:space="preserve"> préfet de Karditsa.</w:t>
      </w:r>
    </w:p>
    <w:p w:rsidR="00865E36" w:rsidRDefault="00865E36" w:rsidP="00515D0F">
      <w:pPr>
        <w:pStyle w:val="JuQuot"/>
        <w:rPr>
          <w:noProof/>
        </w:rPr>
      </w:pPr>
      <w:r>
        <w:rPr>
          <w:noProof/>
        </w:rPr>
        <w:t>Ces nouvelles écoles contribueront à améliorer l</w:t>
      </w:r>
      <w:r w:rsidR="008615F7">
        <w:rPr>
          <w:noProof/>
        </w:rPr>
        <w:t>’</w:t>
      </w:r>
      <w:r>
        <w:rPr>
          <w:noProof/>
        </w:rPr>
        <w:t>éducation offerte aux enfants roms, à faciliter la collaboration et le développement des activités communes avec les autres écoles de la commune de Sofades et</w:t>
      </w:r>
      <w:r w:rsidR="00EE15DA">
        <w:rPr>
          <w:noProof/>
        </w:rPr>
        <w:t>, enfin,</w:t>
      </w:r>
      <w:r>
        <w:rPr>
          <w:noProof/>
        </w:rPr>
        <w:t xml:space="preserve"> à </w:t>
      </w:r>
      <w:r w:rsidR="00250A3B">
        <w:rPr>
          <w:noProof/>
        </w:rPr>
        <w:t>renforcer la coexistence harmonieuse entre les deux groupes sociaux. C</w:t>
      </w:r>
      <w:r w:rsidR="008615F7">
        <w:rPr>
          <w:noProof/>
        </w:rPr>
        <w:t>’</w:t>
      </w:r>
      <w:r w:rsidR="00250A3B">
        <w:rPr>
          <w:noProof/>
        </w:rPr>
        <w:t>est seulement ainsi</w:t>
      </w:r>
      <w:r w:rsidR="00C12672">
        <w:rPr>
          <w:noProof/>
        </w:rPr>
        <w:t>,</w:t>
      </w:r>
      <w:r w:rsidR="00250A3B">
        <w:rPr>
          <w:noProof/>
        </w:rPr>
        <w:t xml:space="preserve"> progressivement et à long terme</w:t>
      </w:r>
      <w:r w:rsidR="00C12672">
        <w:rPr>
          <w:noProof/>
        </w:rPr>
        <w:t>,</w:t>
      </w:r>
      <w:r w:rsidR="00250A3B">
        <w:rPr>
          <w:noProof/>
        </w:rPr>
        <w:t xml:space="preserve"> que l</w:t>
      </w:r>
      <w:r w:rsidR="008615F7">
        <w:rPr>
          <w:noProof/>
        </w:rPr>
        <w:t>’</w:t>
      </w:r>
      <w:r w:rsidR="00250A3B">
        <w:rPr>
          <w:noProof/>
        </w:rPr>
        <w:t>intégration des enfants roms pourra se réaliser de manière non</w:t>
      </w:r>
      <w:r w:rsidR="00C12672">
        <w:rPr>
          <w:noProof/>
        </w:rPr>
        <w:t xml:space="preserve"> </w:t>
      </w:r>
      <w:r w:rsidR="00250A3B">
        <w:rPr>
          <w:noProof/>
        </w:rPr>
        <w:t>violente et efficace.</w:t>
      </w:r>
    </w:p>
    <w:p w:rsidR="007C3205" w:rsidRDefault="00250A3B" w:rsidP="00515D0F">
      <w:pPr>
        <w:pStyle w:val="JuQuot"/>
        <w:rPr>
          <w:noProof/>
        </w:rPr>
      </w:pPr>
      <w:r>
        <w:rPr>
          <w:noProof/>
        </w:rPr>
        <w:t xml:space="preserve">La scolarisation des enfants roms </w:t>
      </w:r>
      <w:r w:rsidR="00EE15DA">
        <w:rPr>
          <w:noProof/>
        </w:rPr>
        <w:t>dans les</w:t>
      </w:r>
      <w:r>
        <w:rPr>
          <w:noProof/>
        </w:rPr>
        <w:t xml:space="preserve"> écoles déjà existantes de Sofades (1</w:t>
      </w:r>
      <w:r w:rsidRPr="00250A3B">
        <w:rPr>
          <w:noProof/>
          <w:vertAlign w:val="superscript"/>
        </w:rPr>
        <w:t>re</w:t>
      </w:r>
      <w:r>
        <w:rPr>
          <w:noProof/>
        </w:rPr>
        <w:t>, 2</w:t>
      </w:r>
      <w:r w:rsidRPr="00250A3B">
        <w:rPr>
          <w:noProof/>
          <w:vertAlign w:val="superscript"/>
        </w:rPr>
        <w:t>e</w:t>
      </w:r>
      <w:r w:rsidR="007C3205">
        <w:rPr>
          <w:noProof/>
        </w:rPr>
        <w:t xml:space="preserve"> et 3</w:t>
      </w:r>
      <w:r w:rsidR="007C3205" w:rsidRPr="007C3205">
        <w:rPr>
          <w:noProof/>
          <w:vertAlign w:val="superscript"/>
        </w:rPr>
        <w:t>e</w:t>
      </w:r>
      <w:r>
        <w:rPr>
          <w:noProof/>
        </w:rPr>
        <w:t xml:space="preserve">) est </w:t>
      </w:r>
      <w:r w:rsidR="007C3205">
        <w:rPr>
          <w:noProof/>
        </w:rPr>
        <w:t>considérée comme irréalisable pour l</w:t>
      </w:r>
      <w:r w:rsidR="008615F7">
        <w:rPr>
          <w:noProof/>
        </w:rPr>
        <w:t>’</w:t>
      </w:r>
      <w:r w:rsidR="007C3205">
        <w:rPr>
          <w:noProof/>
        </w:rPr>
        <w:t>instant, en raison du</w:t>
      </w:r>
      <w:r>
        <w:rPr>
          <w:noProof/>
        </w:rPr>
        <w:t xml:space="preserve"> grand nombre d</w:t>
      </w:r>
      <w:r w:rsidR="008615F7">
        <w:rPr>
          <w:noProof/>
        </w:rPr>
        <w:t>’</w:t>
      </w:r>
      <w:r>
        <w:rPr>
          <w:noProof/>
        </w:rPr>
        <w:t>élèves et</w:t>
      </w:r>
      <w:r w:rsidR="007C3205">
        <w:rPr>
          <w:noProof/>
        </w:rPr>
        <w:t xml:space="preserve"> de</w:t>
      </w:r>
      <w:r>
        <w:rPr>
          <w:noProof/>
        </w:rPr>
        <w:t xml:space="preserve"> l</w:t>
      </w:r>
      <w:r w:rsidR="008615F7">
        <w:rPr>
          <w:noProof/>
        </w:rPr>
        <w:t>’</w:t>
      </w:r>
      <w:r>
        <w:rPr>
          <w:noProof/>
        </w:rPr>
        <w:t>insuffisance de</w:t>
      </w:r>
      <w:r w:rsidR="007C3205">
        <w:rPr>
          <w:noProof/>
        </w:rPr>
        <w:t>s infrastructures de ces écoles.</w:t>
      </w:r>
    </w:p>
    <w:p w:rsidR="00250A3B" w:rsidRDefault="00250A3B" w:rsidP="00515D0F">
      <w:pPr>
        <w:pStyle w:val="JuQuot"/>
        <w:rPr>
          <w:noProof/>
        </w:rPr>
      </w:pPr>
      <w:r>
        <w:rPr>
          <w:noProof/>
        </w:rPr>
        <w:t>(</w:t>
      </w:r>
      <w:r w:rsidR="003759D8">
        <w:rPr>
          <w:noProof/>
        </w:rPr>
        <w:t>...</w:t>
      </w:r>
      <w:r>
        <w:rPr>
          <w:noProof/>
        </w:rPr>
        <w:t>)</w:t>
      </w:r>
    </w:p>
    <w:p w:rsidR="00533021" w:rsidRDefault="00533021" w:rsidP="00515D0F">
      <w:pPr>
        <w:pStyle w:val="JuQuot"/>
        <w:rPr>
          <w:noProof/>
        </w:rPr>
      </w:pPr>
      <w:r>
        <w:rPr>
          <w:noProof/>
        </w:rPr>
        <w:t>En septembre 2009, un parent d</w:t>
      </w:r>
      <w:r w:rsidR="008615F7">
        <w:rPr>
          <w:noProof/>
        </w:rPr>
        <w:t>’</w:t>
      </w:r>
      <w:r>
        <w:rPr>
          <w:noProof/>
        </w:rPr>
        <w:t>un élève rom a déposé (</w:t>
      </w:r>
      <w:r w:rsidR="003759D8">
        <w:rPr>
          <w:noProof/>
        </w:rPr>
        <w:t>...</w:t>
      </w:r>
      <w:r>
        <w:rPr>
          <w:noProof/>
        </w:rPr>
        <w:t>) un contrat de location d</w:t>
      </w:r>
      <w:r w:rsidR="008615F7">
        <w:rPr>
          <w:noProof/>
        </w:rPr>
        <w:t>’</w:t>
      </w:r>
      <w:r>
        <w:rPr>
          <w:noProof/>
        </w:rPr>
        <w:t>une maison (</w:t>
      </w:r>
      <w:r w:rsidR="003759D8">
        <w:rPr>
          <w:noProof/>
        </w:rPr>
        <w:t>...</w:t>
      </w:r>
      <w:r>
        <w:rPr>
          <w:noProof/>
        </w:rPr>
        <w:t>) se trouvant dans l</w:t>
      </w:r>
      <w:r w:rsidR="00D05789">
        <w:rPr>
          <w:noProof/>
        </w:rPr>
        <w:t>e secteur d</w:t>
      </w:r>
      <w:r w:rsidR="008615F7">
        <w:rPr>
          <w:noProof/>
        </w:rPr>
        <w:t>’</w:t>
      </w:r>
      <w:r w:rsidR="00D05789">
        <w:rPr>
          <w:noProof/>
        </w:rPr>
        <w:t>affectation</w:t>
      </w:r>
      <w:r>
        <w:rPr>
          <w:noProof/>
        </w:rPr>
        <w:t xml:space="preserve"> de la 1</w:t>
      </w:r>
      <w:r w:rsidRPr="00533021">
        <w:rPr>
          <w:noProof/>
          <w:vertAlign w:val="superscript"/>
        </w:rPr>
        <w:t>re</w:t>
      </w:r>
      <w:r>
        <w:rPr>
          <w:noProof/>
        </w:rPr>
        <w:t xml:space="preserve"> école primaire de Sofades et ainsi nous avons autorisé l</w:t>
      </w:r>
      <w:r w:rsidR="008615F7">
        <w:rPr>
          <w:noProof/>
        </w:rPr>
        <w:t>’</w:t>
      </w:r>
      <w:r>
        <w:rPr>
          <w:noProof/>
        </w:rPr>
        <w:t>inscription de l</w:t>
      </w:r>
      <w:r w:rsidR="008615F7">
        <w:rPr>
          <w:noProof/>
        </w:rPr>
        <w:t>’</w:t>
      </w:r>
      <w:r>
        <w:rPr>
          <w:noProof/>
        </w:rPr>
        <w:t xml:space="preserve">élève à cette école. Nous avons cependant eu </w:t>
      </w:r>
      <w:r w:rsidR="00C12672">
        <w:rPr>
          <w:noProof/>
        </w:rPr>
        <w:t>d</w:t>
      </w:r>
      <w:r>
        <w:rPr>
          <w:noProof/>
        </w:rPr>
        <w:t>es réaction</w:t>
      </w:r>
      <w:r w:rsidR="00883E5C">
        <w:rPr>
          <w:noProof/>
        </w:rPr>
        <w:t>s</w:t>
      </w:r>
      <w:r>
        <w:rPr>
          <w:noProof/>
        </w:rPr>
        <w:t xml:space="preserve"> véhémentes </w:t>
      </w:r>
      <w:r w:rsidR="00C12672">
        <w:rPr>
          <w:noProof/>
        </w:rPr>
        <w:t xml:space="preserve">de la part </w:t>
      </w:r>
      <w:r>
        <w:rPr>
          <w:noProof/>
        </w:rPr>
        <w:t>des parents d</w:t>
      </w:r>
      <w:r w:rsidR="008615F7">
        <w:rPr>
          <w:noProof/>
        </w:rPr>
        <w:t>’</w:t>
      </w:r>
      <w:r>
        <w:rPr>
          <w:noProof/>
        </w:rPr>
        <w:t>élèves de cette école.</w:t>
      </w:r>
    </w:p>
    <w:p w:rsidR="00533021" w:rsidRDefault="00533021" w:rsidP="00515D0F">
      <w:pPr>
        <w:pStyle w:val="JuQuot"/>
        <w:rPr>
          <w:noProof/>
        </w:rPr>
      </w:pPr>
      <w:r>
        <w:rPr>
          <w:noProof/>
        </w:rPr>
        <w:t>En outre, deux parents roms qui résident dans l</w:t>
      </w:r>
      <w:r w:rsidR="008615F7">
        <w:rPr>
          <w:noProof/>
        </w:rPr>
        <w:t>’</w:t>
      </w:r>
      <w:r>
        <w:rPr>
          <w:noProof/>
        </w:rPr>
        <w:t xml:space="preserve">ancien lotissement des </w:t>
      </w:r>
      <w:r w:rsidR="00C12672">
        <w:rPr>
          <w:noProof/>
        </w:rPr>
        <w:t>R</w:t>
      </w:r>
      <w:r>
        <w:rPr>
          <w:noProof/>
        </w:rPr>
        <w:t>oms de Sofades, où se situe la 4</w:t>
      </w:r>
      <w:r w:rsidRPr="00533021">
        <w:rPr>
          <w:noProof/>
          <w:vertAlign w:val="superscript"/>
        </w:rPr>
        <w:t>e</w:t>
      </w:r>
      <w:r>
        <w:rPr>
          <w:noProof/>
        </w:rPr>
        <w:t xml:space="preserve"> école, ont demandé </w:t>
      </w:r>
      <w:r w:rsidR="00EE15DA">
        <w:rPr>
          <w:noProof/>
        </w:rPr>
        <w:t xml:space="preserve">à pouvoir </w:t>
      </w:r>
      <w:r>
        <w:rPr>
          <w:noProof/>
        </w:rPr>
        <w:t>inscrire leurs enfants dans l</w:t>
      </w:r>
      <w:r w:rsidR="008615F7">
        <w:rPr>
          <w:noProof/>
        </w:rPr>
        <w:t>’</w:t>
      </w:r>
      <w:r>
        <w:rPr>
          <w:noProof/>
        </w:rPr>
        <w:t>école du secteur de Filia. Au début, nous avons approuvé l</w:t>
      </w:r>
      <w:r w:rsidR="008615F7">
        <w:rPr>
          <w:noProof/>
        </w:rPr>
        <w:t>’</w:t>
      </w:r>
      <w:r>
        <w:rPr>
          <w:noProof/>
        </w:rPr>
        <w:t>inscription</w:t>
      </w:r>
      <w:r w:rsidR="00EE15DA">
        <w:rPr>
          <w:noProof/>
        </w:rPr>
        <w:t>, mais n</w:t>
      </w:r>
      <w:r w:rsidR="00515D0F">
        <w:rPr>
          <w:noProof/>
        </w:rPr>
        <w:t xml:space="preserve">ous avons eu </w:t>
      </w:r>
      <w:r w:rsidR="00C12672">
        <w:rPr>
          <w:noProof/>
        </w:rPr>
        <w:t>d</w:t>
      </w:r>
      <w:r w:rsidR="00515D0F">
        <w:rPr>
          <w:noProof/>
        </w:rPr>
        <w:t xml:space="preserve">es réactions véhémentes </w:t>
      </w:r>
      <w:r w:rsidR="00C12672">
        <w:rPr>
          <w:noProof/>
        </w:rPr>
        <w:t xml:space="preserve">de la part </w:t>
      </w:r>
      <w:r w:rsidR="00515D0F">
        <w:rPr>
          <w:noProof/>
        </w:rPr>
        <w:t>des parents d</w:t>
      </w:r>
      <w:r w:rsidR="008615F7">
        <w:rPr>
          <w:noProof/>
        </w:rPr>
        <w:t>’</w:t>
      </w:r>
      <w:r w:rsidR="00515D0F">
        <w:rPr>
          <w:noProof/>
        </w:rPr>
        <w:t>élèves de l</w:t>
      </w:r>
      <w:r w:rsidR="008615F7">
        <w:rPr>
          <w:noProof/>
        </w:rPr>
        <w:t>’</w:t>
      </w:r>
      <w:r w:rsidR="00515D0F">
        <w:rPr>
          <w:noProof/>
        </w:rPr>
        <w:t xml:space="preserve">école primaire de Filia et des autorités municipales qui exigeaient </w:t>
      </w:r>
      <w:r w:rsidR="00C12672">
        <w:rPr>
          <w:noProof/>
        </w:rPr>
        <w:t>le retour d</w:t>
      </w:r>
      <w:r w:rsidR="00515D0F">
        <w:rPr>
          <w:noProof/>
        </w:rPr>
        <w:t>es deux élèves à la 4</w:t>
      </w:r>
      <w:r w:rsidR="00515D0F" w:rsidRPr="00515D0F">
        <w:rPr>
          <w:noProof/>
          <w:vertAlign w:val="superscript"/>
        </w:rPr>
        <w:t>e</w:t>
      </w:r>
      <w:r w:rsidR="00515D0F">
        <w:rPr>
          <w:noProof/>
        </w:rPr>
        <w:t xml:space="preserve"> école </w:t>
      </w:r>
      <w:r w:rsidR="00C12672">
        <w:rPr>
          <w:noProof/>
        </w:rPr>
        <w:t xml:space="preserve">au motif que </w:t>
      </w:r>
      <w:r w:rsidR="00515D0F">
        <w:rPr>
          <w:noProof/>
        </w:rPr>
        <w:t>leur résidence permanente se trouvait dans l</w:t>
      </w:r>
      <w:r w:rsidR="008615F7">
        <w:rPr>
          <w:noProof/>
        </w:rPr>
        <w:t>’</w:t>
      </w:r>
      <w:r w:rsidR="00515D0F">
        <w:rPr>
          <w:noProof/>
        </w:rPr>
        <w:t xml:space="preserve">ancien lotissement des </w:t>
      </w:r>
      <w:r w:rsidR="00C12672">
        <w:rPr>
          <w:noProof/>
        </w:rPr>
        <w:t>R</w:t>
      </w:r>
      <w:r w:rsidR="00515D0F">
        <w:rPr>
          <w:noProof/>
        </w:rPr>
        <w:t>oms de Sofades et non dans le secteur de Filia.</w:t>
      </w:r>
    </w:p>
    <w:p w:rsidR="00515D0F" w:rsidRDefault="00515D0F" w:rsidP="00515D0F">
      <w:pPr>
        <w:pStyle w:val="JuQuot"/>
        <w:rPr>
          <w:noProof/>
        </w:rPr>
      </w:pPr>
      <w:r>
        <w:rPr>
          <w:noProof/>
        </w:rPr>
        <w:t>(</w:t>
      </w:r>
      <w:r w:rsidR="003759D8">
        <w:rPr>
          <w:noProof/>
        </w:rPr>
        <w:t>...</w:t>
      </w:r>
      <w:r>
        <w:rPr>
          <w:noProof/>
        </w:rPr>
        <w:t>) »</w:t>
      </w:r>
    </w:p>
    <w:p w:rsidR="000F6FD5" w:rsidRDefault="00FB4A3C" w:rsidP="00335173">
      <w:pPr>
        <w:pStyle w:val="JuPara"/>
        <w:rPr>
          <w:noProof/>
        </w:rPr>
      </w:pPr>
      <w:r>
        <w:fldChar w:fldCharType="begin"/>
      </w:r>
      <w:r>
        <w:instrText xml:space="preserve"> SEQ level0 \*arabic </w:instrText>
      </w:r>
      <w:r>
        <w:fldChar w:fldCharType="separate"/>
      </w:r>
      <w:r w:rsidR="00554499">
        <w:rPr>
          <w:noProof/>
        </w:rPr>
        <w:t>18</w:t>
      </w:r>
      <w:r>
        <w:fldChar w:fldCharType="end"/>
      </w:r>
      <w:r>
        <w:t>.  </w:t>
      </w:r>
      <w:r w:rsidR="00335173">
        <w:t xml:space="preserve">Le 25 novembre 2009, </w:t>
      </w:r>
      <w:r w:rsidR="00BB65CE">
        <w:t xml:space="preserve">le </w:t>
      </w:r>
      <w:r w:rsidR="00335173">
        <w:t xml:space="preserve">GHM envoya au nouveau </w:t>
      </w:r>
      <w:r w:rsidR="00335173">
        <w:rPr>
          <w:noProof/>
        </w:rPr>
        <w:t>secrétaire spécial pour l</w:t>
      </w:r>
      <w:r w:rsidR="008615F7">
        <w:rPr>
          <w:noProof/>
        </w:rPr>
        <w:t>’</w:t>
      </w:r>
      <w:r w:rsidR="00335173">
        <w:rPr>
          <w:noProof/>
        </w:rPr>
        <w:t>éducation interculturelle au ministère de l</w:t>
      </w:r>
      <w:r w:rsidR="008615F7">
        <w:rPr>
          <w:noProof/>
        </w:rPr>
        <w:t>’</w:t>
      </w:r>
      <w:r w:rsidR="00335173">
        <w:rPr>
          <w:noProof/>
        </w:rPr>
        <w:t>Education une lettre</w:t>
      </w:r>
      <w:r w:rsidR="00C12672">
        <w:rPr>
          <w:noProof/>
        </w:rPr>
        <w:t xml:space="preserve"> similaire </w:t>
      </w:r>
      <w:r w:rsidR="00EE15DA">
        <w:rPr>
          <w:noProof/>
        </w:rPr>
        <w:t>à la</w:t>
      </w:r>
      <w:r w:rsidR="00335173">
        <w:rPr>
          <w:noProof/>
        </w:rPr>
        <w:t xml:space="preserve"> lettre susmentionnée </w:t>
      </w:r>
      <w:r w:rsidR="00131AF3">
        <w:rPr>
          <w:noProof/>
        </w:rPr>
        <w:t>d</w:t>
      </w:r>
      <w:r w:rsidR="00C12672">
        <w:rPr>
          <w:noProof/>
        </w:rPr>
        <w:t>u</w:t>
      </w:r>
      <w:r w:rsidR="00131AF3">
        <w:rPr>
          <w:noProof/>
        </w:rPr>
        <w:t xml:space="preserve"> 30 mai et </w:t>
      </w:r>
      <w:r w:rsidR="00C12672">
        <w:rPr>
          <w:noProof/>
        </w:rPr>
        <w:t xml:space="preserve">du </w:t>
      </w:r>
      <w:r w:rsidR="00131AF3">
        <w:rPr>
          <w:noProof/>
        </w:rPr>
        <w:t xml:space="preserve">20 juillet 2009, </w:t>
      </w:r>
      <w:r w:rsidR="00335173">
        <w:rPr>
          <w:noProof/>
        </w:rPr>
        <w:t>qui resta elle aussi sans réponse.</w:t>
      </w:r>
    </w:p>
    <w:p w:rsidR="000F6FD5" w:rsidRDefault="00192445" w:rsidP="00335173">
      <w:pPr>
        <w:pStyle w:val="JuPara"/>
        <w:rPr>
          <w:noProof/>
        </w:rPr>
      </w:pPr>
      <w:r>
        <w:rPr>
          <w:noProof/>
        </w:rPr>
        <w:fldChar w:fldCharType="begin"/>
      </w:r>
      <w:r>
        <w:rPr>
          <w:noProof/>
        </w:rPr>
        <w:instrText xml:space="preserve"> SEQ level0 \*arabic </w:instrText>
      </w:r>
      <w:r>
        <w:rPr>
          <w:noProof/>
        </w:rPr>
        <w:fldChar w:fldCharType="separate"/>
      </w:r>
      <w:r w:rsidR="00554499">
        <w:rPr>
          <w:noProof/>
        </w:rPr>
        <w:t>19</w:t>
      </w:r>
      <w:r>
        <w:rPr>
          <w:noProof/>
        </w:rPr>
        <w:fldChar w:fldCharType="end"/>
      </w:r>
      <w:r>
        <w:rPr>
          <w:noProof/>
        </w:rPr>
        <w:t>.  </w:t>
      </w:r>
      <w:r w:rsidR="007E4F22">
        <w:rPr>
          <w:noProof/>
        </w:rPr>
        <w:t>Le 15 décembre 2009, le M</w:t>
      </w:r>
      <w:r w:rsidR="00335173" w:rsidRPr="00766447">
        <w:rPr>
          <w:noProof/>
        </w:rPr>
        <w:t>édiateur de la République informa le GHM qu</w:t>
      </w:r>
      <w:r w:rsidR="008615F7">
        <w:rPr>
          <w:noProof/>
        </w:rPr>
        <w:t>’</w:t>
      </w:r>
      <w:r w:rsidR="00335173" w:rsidRPr="00766447">
        <w:rPr>
          <w:noProof/>
        </w:rPr>
        <w:t xml:space="preserve">il avait aussi écrit </w:t>
      </w:r>
      <w:r w:rsidR="00335173" w:rsidRPr="00766447">
        <w:t xml:space="preserve">au nouveau </w:t>
      </w:r>
      <w:r w:rsidR="00335173" w:rsidRPr="00766447">
        <w:rPr>
          <w:noProof/>
        </w:rPr>
        <w:t>secrétaire spécial pour l</w:t>
      </w:r>
      <w:r w:rsidR="008615F7">
        <w:rPr>
          <w:noProof/>
        </w:rPr>
        <w:t>’</w:t>
      </w:r>
      <w:r w:rsidR="00335173" w:rsidRPr="00766447">
        <w:rPr>
          <w:noProof/>
        </w:rPr>
        <w:t xml:space="preserve">éducation interculturelle pour </w:t>
      </w:r>
      <w:r w:rsidR="00131AF3">
        <w:rPr>
          <w:noProof/>
        </w:rPr>
        <w:t>s</w:t>
      </w:r>
      <w:r w:rsidR="008615F7">
        <w:rPr>
          <w:noProof/>
        </w:rPr>
        <w:t>’</w:t>
      </w:r>
      <w:r w:rsidR="00131AF3">
        <w:rPr>
          <w:noProof/>
        </w:rPr>
        <w:t xml:space="preserve">informer </w:t>
      </w:r>
      <w:r w:rsidR="00335173" w:rsidRPr="00766447">
        <w:rPr>
          <w:noProof/>
        </w:rPr>
        <w:t>de la position du nouveau ministre à ce sujet.</w:t>
      </w:r>
    </w:p>
    <w:p w:rsidR="00C93D95" w:rsidRPr="00766447" w:rsidRDefault="00C93D95" w:rsidP="00C93D95">
      <w:pPr>
        <w:pStyle w:val="JuHA"/>
      </w:pPr>
      <w:r>
        <w:rPr>
          <w:noProof/>
        </w:rPr>
        <w:t>C.  Développements ultérieurs</w:t>
      </w:r>
    </w:p>
    <w:p w:rsidR="00EC6427" w:rsidRDefault="00FB4A3C">
      <w:pPr>
        <w:pStyle w:val="JuPara"/>
      </w:pPr>
      <w:r>
        <w:fldChar w:fldCharType="begin"/>
      </w:r>
      <w:r>
        <w:instrText xml:space="preserve"> SEQ level0 \*arabic </w:instrText>
      </w:r>
      <w:r>
        <w:fldChar w:fldCharType="separate"/>
      </w:r>
      <w:r w:rsidR="00554499">
        <w:rPr>
          <w:noProof/>
        </w:rPr>
        <w:t>20</w:t>
      </w:r>
      <w:r>
        <w:fldChar w:fldCharType="end"/>
      </w:r>
      <w:r>
        <w:t>.  </w:t>
      </w:r>
      <w:r w:rsidR="0023062F">
        <w:t>A une date non précisée e</w:t>
      </w:r>
      <w:r w:rsidR="00EA5DB4">
        <w:t xml:space="preserve">n 2009, la </w:t>
      </w:r>
      <w:r w:rsidR="008D791E">
        <w:t>d</w:t>
      </w:r>
      <w:r w:rsidR="00EA5DB4">
        <w:t>irection de l</w:t>
      </w:r>
      <w:r w:rsidR="008615F7">
        <w:t>’</w:t>
      </w:r>
      <w:r w:rsidR="008D791E">
        <w:t>e</w:t>
      </w:r>
      <w:r w:rsidR="00EA5DB4">
        <w:t>nseignement primaire de Karditsa souligna que</w:t>
      </w:r>
      <w:r w:rsidR="00BD4DA4">
        <w:t>, si l</w:t>
      </w:r>
      <w:r w:rsidR="008615F7">
        <w:t>’</w:t>
      </w:r>
      <w:r w:rsidR="00BD4DA4">
        <w:t>on voulait</w:t>
      </w:r>
      <w:r w:rsidR="00EA5DB4">
        <w:t xml:space="preserve"> régler le problème de l</w:t>
      </w:r>
      <w:r w:rsidR="008615F7">
        <w:t>’</w:t>
      </w:r>
      <w:r w:rsidR="00EA5DB4">
        <w:t xml:space="preserve">exclusion des </w:t>
      </w:r>
      <w:r w:rsidR="008D791E">
        <w:t>R</w:t>
      </w:r>
      <w:r w:rsidR="00EA5DB4">
        <w:t>oms</w:t>
      </w:r>
      <w:r w:rsidR="00BD4DA4">
        <w:t>, il fallait arrêter aussi</w:t>
      </w:r>
      <w:r w:rsidR="00EA5DB4">
        <w:t xml:space="preserve"> de scolaris</w:t>
      </w:r>
      <w:r w:rsidR="00BD4DA4">
        <w:t>er</w:t>
      </w:r>
      <w:r w:rsidR="00EA5DB4">
        <w:t xml:space="preserve"> </w:t>
      </w:r>
      <w:r w:rsidR="00BD4DA4">
        <w:t>l</w:t>
      </w:r>
      <w:r w:rsidR="00EA5DB4">
        <w:t xml:space="preserve">es </w:t>
      </w:r>
      <w:r w:rsidR="00BD4DA4">
        <w:t>enfants</w:t>
      </w:r>
      <w:r w:rsidR="00EA5DB4">
        <w:t xml:space="preserve"> roms dans des écoles réservées aux </w:t>
      </w:r>
      <w:r w:rsidR="008D791E">
        <w:t>R</w:t>
      </w:r>
      <w:r w:rsidR="00EA5DB4">
        <w:t xml:space="preserve">oms. La </w:t>
      </w:r>
      <w:r w:rsidR="008D791E">
        <w:t>d</w:t>
      </w:r>
      <w:r w:rsidR="00EA5DB4">
        <w:t>irection proposa à cet effet la construction d</w:t>
      </w:r>
      <w:r w:rsidR="008615F7">
        <w:t>’</w:t>
      </w:r>
      <w:r w:rsidR="00EA5DB4">
        <w:t>une nouvelle école en dehors de l</w:t>
      </w:r>
      <w:r w:rsidR="008615F7">
        <w:t>’</w:t>
      </w:r>
      <w:r w:rsidR="00EA5DB4">
        <w:t>ancien lotissement et un</w:t>
      </w:r>
      <w:r w:rsidR="00EC4AEB">
        <w:t xml:space="preserve"> redécoupage de la carte scolaire</w:t>
      </w:r>
      <w:r w:rsidR="00EA5DB4">
        <w:t>.</w:t>
      </w:r>
    </w:p>
    <w:p w:rsidR="000F6FD5" w:rsidRDefault="00B46914">
      <w:pPr>
        <w:pStyle w:val="JuPara"/>
      </w:pPr>
      <w:r w:rsidRPr="0073020F">
        <w:fldChar w:fldCharType="begin"/>
      </w:r>
      <w:r w:rsidRPr="0073020F">
        <w:instrText xml:space="preserve"> SEQ level0 \*arabic </w:instrText>
      </w:r>
      <w:r w:rsidRPr="0073020F">
        <w:fldChar w:fldCharType="separate"/>
      </w:r>
      <w:r w:rsidR="00554499">
        <w:rPr>
          <w:noProof/>
        </w:rPr>
        <w:t>21</w:t>
      </w:r>
      <w:r w:rsidRPr="0073020F">
        <w:fldChar w:fldCharType="end"/>
      </w:r>
      <w:r w:rsidRPr="0073020F">
        <w:t>.  </w:t>
      </w:r>
      <w:r w:rsidR="00EA5DB4" w:rsidRPr="0073020F">
        <w:t xml:space="preserve">Le 7 décembre 2011, </w:t>
      </w:r>
      <w:r w:rsidR="00C74623" w:rsidRPr="0073020F">
        <w:t>lors d</w:t>
      </w:r>
      <w:r w:rsidR="008615F7">
        <w:t>’</w:t>
      </w:r>
      <w:r w:rsidR="00C74623" w:rsidRPr="0073020F">
        <w:t xml:space="preserve">une réunion </w:t>
      </w:r>
      <w:r w:rsidR="003B0979">
        <w:t>dans les</w:t>
      </w:r>
      <w:r w:rsidR="00C74623" w:rsidRPr="0073020F">
        <w:t xml:space="preserve"> bureaux de la</w:t>
      </w:r>
      <w:r w:rsidR="00C74623">
        <w:t xml:space="preserve"> </w:t>
      </w:r>
      <w:r w:rsidR="0073020F">
        <w:t>d</w:t>
      </w:r>
      <w:r w:rsidR="00C74623">
        <w:t xml:space="preserve">irection régionale </w:t>
      </w:r>
      <w:r w:rsidR="00297401">
        <w:t>de l</w:t>
      </w:r>
      <w:r w:rsidR="008615F7">
        <w:t>’</w:t>
      </w:r>
      <w:r w:rsidR="00297401">
        <w:t>éducation de</w:t>
      </w:r>
      <w:r w:rsidR="00C74623">
        <w:t xml:space="preserve"> Th</w:t>
      </w:r>
      <w:r w:rsidR="00F37825">
        <w:t>e</w:t>
      </w:r>
      <w:r w:rsidR="00C74623">
        <w:t xml:space="preserve">ssalie, </w:t>
      </w:r>
      <w:r w:rsidR="00473FA2">
        <w:t>le</w:t>
      </w:r>
      <w:r w:rsidR="00C74623">
        <w:t>s services compétents</w:t>
      </w:r>
      <w:r w:rsidR="00473FA2">
        <w:t xml:space="preserve"> </w:t>
      </w:r>
      <w:r w:rsidR="00C74623">
        <w:t xml:space="preserve">du </w:t>
      </w:r>
      <w:r w:rsidR="00473FA2">
        <w:t>ministère de l</w:t>
      </w:r>
      <w:r w:rsidR="008615F7">
        <w:t>’</w:t>
      </w:r>
      <w:r w:rsidR="00473FA2">
        <w:t xml:space="preserve">Education </w:t>
      </w:r>
      <w:r w:rsidR="00AD1E8E">
        <w:t xml:space="preserve">proposèrent </w:t>
      </w:r>
      <w:r w:rsidR="00473FA2">
        <w:t>de pre</w:t>
      </w:r>
      <w:r w:rsidR="008D056C">
        <w:t>ndre les mesures suivantes : a)</w:t>
      </w:r>
      <w:r w:rsidR="0073020F">
        <w:t> </w:t>
      </w:r>
      <w:r w:rsidR="008D056C">
        <w:t> </w:t>
      </w:r>
      <w:r w:rsidR="00473FA2">
        <w:t>transférer à partir du 1</w:t>
      </w:r>
      <w:r w:rsidR="00473FA2" w:rsidRPr="00473FA2">
        <w:rPr>
          <w:vertAlign w:val="superscript"/>
        </w:rPr>
        <w:t>er</w:t>
      </w:r>
      <w:r w:rsidR="00473FA2">
        <w:t xml:space="preserve"> janvier 2012 tous les enfants roms inscrits </w:t>
      </w:r>
      <w:r w:rsidR="00EC4AEB">
        <w:t>dans</w:t>
      </w:r>
      <w:r>
        <w:t xml:space="preserve"> la </w:t>
      </w:r>
      <w:r w:rsidR="00473FA2">
        <w:t>première</w:t>
      </w:r>
      <w:r>
        <w:t xml:space="preserve"> classe</w:t>
      </w:r>
      <w:r w:rsidR="00473FA2">
        <w:t xml:space="preserve"> de la 4</w:t>
      </w:r>
      <w:r w:rsidR="00473FA2" w:rsidRPr="00473FA2">
        <w:rPr>
          <w:vertAlign w:val="superscript"/>
        </w:rPr>
        <w:t>e</w:t>
      </w:r>
      <w:r w:rsidR="00473FA2">
        <w:t xml:space="preserve"> école dans cinq autres écoles de la commune de Sofades, à savoir les 1</w:t>
      </w:r>
      <w:r w:rsidR="00473FA2" w:rsidRPr="00473FA2">
        <w:rPr>
          <w:vertAlign w:val="superscript"/>
        </w:rPr>
        <w:t>re</w:t>
      </w:r>
      <w:r w:rsidR="00473FA2">
        <w:t xml:space="preserve"> et 2</w:t>
      </w:r>
      <w:r w:rsidR="00473FA2" w:rsidRPr="00473FA2">
        <w:rPr>
          <w:vertAlign w:val="superscript"/>
        </w:rPr>
        <w:t>e</w:t>
      </w:r>
      <w:r w:rsidR="00473FA2">
        <w:t xml:space="preserve"> </w:t>
      </w:r>
      <w:r>
        <w:t>écoles primaires de Sofades</w:t>
      </w:r>
      <w:r w:rsidR="00473FA2">
        <w:t xml:space="preserve"> et les écoles primaires de Kypseli</w:t>
      </w:r>
      <w:r w:rsidR="00C74623">
        <w:t xml:space="preserve">, </w:t>
      </w:r>
      <w:r w:rsidR="0073020F">
        <w:t xml:space="preserve">de </w:t>
      </w:r>
      <w:r w:rsidR="00C74623">
        <w:t>Karpochori et</w:t>
      </w:r>
      <w:r w:rsidR="0073020F">
        <w:t xml:space="preserve"> de</w:t>
      </w:r>
      <w:r w:rsidR="00C74623">
        <w:t xml:space="preserve"> Mataraga, et affecter à ces écoles des éducateurs spécialisés pour faciliter l</w:t>
      </w:r>
      <w:r w:rsidR="00532A53">
        <w:t xml:space="preserve">eur </w:t>
      </w:r>
      <w:r w:rsidR="00C74623">
        <w:t>intégrati</w:t>
      </w:r>
      <w:r w:rsidR="008D056C">
        <w:t xml:space="preserve">on </w:t>
      </w:r>
      <w:r w:rsidR="0073020F">
        <w:t xml:space="preserve">dans </w:t>
      </w:r>
      <w:r w:rsidR="008D056C">
        <w:t>ces écoles ; b) </w:t>
      </w:r>
      <w:r w:rsidR="0073020F">
        <w:t> </w:t>
      </w:r>
      <w:r w:rsidR="00C74623">
        <w:t>à partir de l</w:t>
      </w:r>
      <w:r w:rsidR="008615F7">
        <w:t>’</w:t>
      </w:r>
      <w:r w:rsidR="00C74623">
        <w:t xml:space="preserve">année scolaire 2012-2013, </w:t>
      </w:r>
      <w:r w:rsidR="0073020F">
        <w:t>ne pas inscrire à la 4</w:t>
      </w:r>
      <w:r w:rsidR="0073020F" w:rsidRPr="00B46914">
        <w:rPr>
          <w:vertAlign w:val="superscript"/>
        </w:rPr>
        <w:t>e</w:t>
      </w:r>
      <w:r w:rsidR="0073020F">
        <w:t xml:space="preserve"> école </w:t>
      </w:r>
      <w:r w:rsidR="00C74623">
        <w:t xml:space="preserve">les élèves devant commencer leur scolarité dans le </w:t>
      </w:r>
      <w:r w:rsidR="003B0979">
        <w:t xml:space="preserve">cycle </w:t>
      </w:r>
      <w:r w:rsidR="00C74623">
        <w:t>primaire</w:t>
      </w:r>
      <w:r w:rsidR="003B0979">
        <w:t>,</w:t>
      </w:r>
      <w:r w:rsidR="00C74623">
        <w:t xml:space="preserve"> </w:t>
      </w:r>
      <w:r>
        <w:t xml:space="preserve">mais </w:t>
      </w:r>
      <w:r w:rsidR="0073020F">
        <w:t>les répartir</w:t>
      </w:r>
      <w:r>
        <w:t xml:space="preserve"> dans les écoles précitées.</w:t>
      </w:r>
    </w:p>
    <w:p w:rsidR="00EA5DB4" w:rsidRDefault="00AD1E8E">
      <w:pPr>
        <w:pStyle w:val="JuPara"/>
        <w:rPr>
          <w:noProof/>
        </w:rPr>
      </w:pPr>
      <w:r>
        <w:fldChar w:fldCharType="begin"/>
      </w:r>
      <w:r>
        <w:instrText xml:space="preserve"> SEQ level0 \*arabic </w:instrText>
      </w:r>
      <w:r>
        <w:fldChar w:fldCharType="separate"/>
      </w:r>
      <w:r w:rsidR="00554499">
        <w:rPr>
          <w:noProof/>
        </w:rPr>
        <w:t>22</w:t>
      </w:r>
      <w:r>
        <w:fldChar w:fldCharType="end"/>
      </w:r>
      <w:r>
        <w:t xml:space="preserve">.  Le 23 décembre 2011, le </w:t>
      </w:r>
      <w:r w:rsidRPr="00766447">
        <w:rPr>
          <w:noProof/>
        </w:rPr>
        <w:t>secrétaire spécial pour l</w:t>
      </w:r>
      <w:r w:rsidR="008615F7">
        <w:rPr>
          <w:noProof/>
        </w:rPr>
        <w:t>’</w:t>
      </w:r>
      <w:r w:rsidRPr="00766447">
        <w:rPr>
          <w:noProof/>
        </w:rPr>
        <w:t>éducation interculturelle</w:t>
      </w:r>
      <w:r>
        <w:rPr>
          <w:noProof/>
        </w:rPr>
        <w:t xml:space="preserve"> décida de prendre les mesures nécessaires </w:t>
      </w:r>
      <w:r w:rsidR="00EC4AEB">
        <w:rPr>
          <w:noProof/>
        </w:rPr>
        <w:t>pour</w:t>
      </w:r>
      <w:r>
        <w:rPr>
          <w:noProof/>
        </w:rPr>
        <w:t xml:space="preserve"> mettre en œuvre ces propositions. </w:t>
      </w:r>
      <w:r w:rsidR="003B0979">
        <w:rPr>
          <w:noProof/>
        </w:rPr>
        <w:t>L</w:t>
      </w:r>
      <w:r w:rsidR="008615F7">
        <w:rPr>
          <w:noProof/>
        </w:rPr>
        <w:t>’</w:t>
      </w:r>
      <w:r w:rsidR="003A0756">
        <w:rPr>
          <w:noProof/>
        </w:rPr>
        <w:t xml:space="preserve">annonce de ces mesures dans la presse locale et nationale provoqua un tollé parmi les parents des élèves non roms, qui exprimèrent leur opposition à </w:t>
      </w:r>
      <w:r w:rsidR="00EC4AEB">
        <w:rPr>
          <w:noProof/>
        </w:rPr>
        <w:t>toute scolarisation d</w:t>
      </w:r>
      <w:r w:rsidR="008615F7">
        <w:rPr>
          <w:noProof/>
        </w:rPr>
        <w:t>’</w:t>
      </w:r>
      <w:r w:rsidR="00EC4AEB">
        <w:rPr>
          <w:noProof/>
        </w:rPr>
        <w:t>enfants roms dans les classes fréquentées par leurs enfants</w:t>
      </w:r>
      <w:r w:rsidR="003A0756">
        <w:rPr>
          <w:noProof/>
        </w:rPr>
        <w:t>.</w:t>
      </w:r>
    </w:p>
    <w:p w:rsidR="004123B8" w:rsidRDefault="004123B8">
      <w:pPr>
        <w:pStyle w:val="JuPara"/>
        <w:rPr>
          <w:noProof/>
        </w:rPr>
      </w:pPr>
      <w:r>
        <w:rPr>
          <w:noProof/>
        </w:rPr>
        <w:fldChar w:fldCharType="begin"/>
      </w:r>
      <w:r>
        <w:rPr>
          <w:noProof/>
        </w:rPr>
        <w:instrText xml:space="preserve"> SEQ level0 \*arabic </w:instrText>
      </w:r>
      <w:r>
        <w:rPr>
          <w:noProof/>
        </w:rPr>
        <w:fldChar w:fldCharType="separate"/>
      </w:r>
      <w:r w:rsidR="00554499">
        <w:rPr>
          <w:noProof/>
        </w:rPr>
        <w:t>23</w:t>
      </w:r>
      <w:r>
        <w:rPr>
          <w:noProof/>
        </w:rPr>
        <w:fldChar w:fldCharType="end"/>
      </w:r>
      <w:r>
        <w:rPr>
          <w:noProof/>
        </w:rPr>
        <w:t>.  Lors d</w:t>
      </w:r>
      <w:r w:rsidR="008615F7">
        <w:rPr>
          <w:noProof/>
        </w:rPr>
        <w:t>’</w:t>
      </w:r>
      <w:r>
        <w:rPr>
          <w:noProof/>
        </w:rPr>
        <w:t>une réunion du 26 janvier 2012 entre le ministre de l</w:t>
      </w:r>
      <w:r w:rsidR="008615F7">
        <w:rPr>
          <w:noProof/>
        </w:rPr>
        <w:t>’</w:t>
      </w:r>
      <w:r>
        <w:rPr>
          <w:noProof/>
        </w:rPr>
        <w:t xml:space="preserve">Education, le </w:t>
      </w:r>
      <w:r w:rsidRPr="00766447">
        <w:rPr>
          <w:noProof/>
        </w:rPr>
        <w:t>secrétaire spécial pour l</w:t>
      </w:r>
      <w:r w:rsidR="008615F7">
        <w:rPr>
          <w:noProof/>
        </w:rPr>
        <w:t>’</w:t>
      </w:r>
      <w:r w:rsidRPr="00766447">
        <w:rPr>
          <w:noProof/>
        </w:rPr>
        <w:t>éducation interculturelle</w:t>
      </w:r>
      <w:r>
        <w:rPr>
          <w:noProof/>
        </w:rPr>
        <w:t>, le maire de Sofades, les députés de Karditsa et les représentants des associations des parents d</w:t>
      </w:r>
      <w:r w:rsidR="008615F7">
        <w:rPr>
          <w:noProof/>
        </w:rPr>
        <w:t>’</w:t>
      </w:r>
      <w:r>
        <w:rPr>
          <w:noProof/>
        </w:rPr>
        <w:t>élèves, il fut décidé de prendre les mesures suivantes :</w:t>
      </w:r>
      <w:r w:rsidR="009C6A5E">
        <w:rPr>
          <w:noProof/>
        </w:rPr>
        <w:t xml:space="preserve"> </w:t>
      </w:r>
      <w:r w:rsidR="006F04E0">
        <w:rPr>
          <w:noProof/>
        </w:rPr>
        <w:t>a)  maintenir la 4</w:t>
      </w:r>
      <w:r w:rsidR="006F04E0" w:rsidRPr="009C6A5E">
        <w:rPr>
          <w:noProof/>
          <w:vertAlign w:val="superscript"/>
        </w:rPr>
        <w:t>e</w:t>
      </w:r>
      <w:r w:rsidR="006F04E0">
        <w:rPr>
          <w:noProof/>
        </w:rPr>
        <w:t xml:space="preserve"> école en fonctionnement et la pourvoir de plus d</w:t>
      </w:r>
      <w:r w:rsidR="008615F7">
        <w:rPr>
          <w:noProof/>
        </w:rPr>
        <w:t>’</w:t>
      </w:r>
      <w:r w:rsidR="006F04E0">
        <w:rPr>
          <w:noProof/>
        </w:rPr>
        <w:t>équipements et d</w:t>
      </w:r>
      <w:r w:rsidR="008615F7">
        <w:rPr>
          <w:noProof/>
        </w:rPr>
        <w:t>’</w:t>
      </w:r>
      <w:r w:rsidR="006F04E0">
        <w:rPr>
          <w:noProof/>
        </w:rPr>
        <w:t>enseignants ; b) construire une nouvelle école pour enfants roms ; c) inscrire, si leurs parents le souhaitaient, neuf élèves en début de scolarisation et considérés co</w:t>
      </w:r>
      <w:r w:rsidR="003B0979">
        <w:rPr>
          <w:noProof/>
        </w:rPr>
        <w:t>mme aptes à suivre l</w:t>
      </w:r>
      <w:r w:rsidR="008615F7">
        <w:rPr>
          <w:noProof/>
        </w:rPr>
        <w:t>’</w:t>
      </w:r>
      <w:r w:rsidR="00BD4DA4">
        <w:rPr>
          <w:noProof/>
        </w:rPr>
        <w:t>enseignement</w:t>
      </w:r>
      <w:r w:rsidR="003B0979">
        <w:rPr>
          <w:noProof/>
        </w:rPr>
        <w:t xml:space="preserve"> dans des classes préparatoires qui relevaient des</w:t>
      </w:r>
      <w:r w:rsidR="006F04E0">
        <w:rPr>
          <w:noProof/>
        </w:rPr>
        <w:t xml:space="preserve"> 1</w:t>
      </w:r>
      <w:r w:rsidR="006F04E0" w:rsidRPr="009C6A5E">
        <w:rPr>
          <w:noProof/>
          <w:vertAlign w:val="superscript"/>
        </w:rPr>
        <w:t>re</w:t>
      </w:r>
      <w:r w:rsidR="006F04E0">
        <w:rPr>
          <w:noProof/>
        </w:rPr>
        <w:t xml:space="preserve"> et 2</w:t>
      </w:r>
      <w:r w:rsidR="006F04E0" w:rsidRPr="009C6A5E">
        <w:rPr>
          <w:noProof/>
          <w:vertAlign w:val="superscript"/>
        </w:rPr>
        <w:t>e</w:t>
      </w:r>
      <w:r w:rsidR="006F04E0">
        <w:rPr>
          <w:noProof/>
        </w:rPr>
        <w:t xml:space="preserve"> écoles</w:t>
      </w:r>
      <w:r w:rsidR="003B0979">
        <w:rPr>
          <w:noProof/>
        </w:rPr>
        <w:t>,</w:t>
      </w:r>
      <w:r w:rsidR="006F04E0">
        <w:rPr>
          <w:noProof/>
        </w:rPr>
        <w:t xml:space="preserve"> mais qui fonctionneraient dans les locaux de la 5</w:t>
      </w:r>
      <w:r w:rsidR="006F04E0" w:rsidRPr="009C6A5E">
        <w:rPr>
          <w:noProof/>
          <w:vertAlign w:val="superscript"/>
        </w:rPr>
        <w:t>e</w:t>
      </w:r>
      <w:r w:rsidR="006F04E0">
        <w:rPr>
          <w:noProof/>
        </w:rPr>
        <w:t xml:space="preserve"> école maternelle (située dans le nouveau lotissement des Roms et fréquentée exclusivement par des enfants roms) ; d)  à par</w:t>
      </w:r>
      <w:r w:rsidR="00BD4DA4">
        <w:rPr>
          <w:noProof/>
        </w:rPr>
        <w:t>tir de la rentrée scolaire</w:t>
      </w:r>
      <w:r w:rsidR="006F04E0">
        <w:rPr>
          <w:noProof/>
        </w:rPr>
        <w:t xml:space="preserve"> 2012-2013, inscrire les élèves de la 5</w:t>
      </w:r>
      <w:r w:rsidR="006F04E0" w:rsidRPr="00260D5D">
        <w:rPr>
          <w:noProof/>
          <w:vertAlign w:val="superscript"/>
        </w:rPr>
        <w:t>e</w:t>
      </w:r>
      <w:r w:rsidR="006F04E0">
        <w:rPr>
          <w:noProof/>
        </w:rPr>
        <w:t xml:space="preserve"> école maternelle dans les différentes écoles primaires de la ville de Sofades en veillant à ce que leur nombre ne dépassât pas 20 % du total des élèves dans chaque école.</w:t>
      </w:r>
    </w:p>
    <w:p w:rsidR="003B049E" w:rsidRDefault="003B049E">
      <w:pPr>
        <w:pStyle w:val="JuPara"/>
        <w:rPr>
          <w:noProof/>
        </w:rPr>
      </w:pPr>
      <w:r>
        <w:rPr>
          <w:noProof/>
        </w:rPr>
        <w:fldChar w:fldCharType="begin"/>
      </w:r>
      <w:r>
        <w:rPr>
          <w:noProof/>
        </w:rPr>
        <w:instrText xml:space="preserve"> SEQ level0 \*arabic </w:instrText>
      </w:r>
      <w:r>
        <w:rPr>
          <w:noProof/>
        </w:rPr>
        <w:fldChar w:fldCharType="separate"/>
      </w:r>
      <w:r w:rsidR="00554499">
        <w:rPr>
          <w:noProof/>
        </w:rPr>
        <w:t>24</w:t>
      </w:r>
      <w:r>
        <w:rPr>
          <w:noProof/>
        </w:rPr>
        <w:fldChar w:fldCharType="end"/>
      </w:r>
      <w:r>
        <w:rPr>
          <w:noProof/>
        </w:rPr>
        <w:t xml:space="preserve">.  Le 13 février 2012, répondant à une question </w:t>
      </w:r>
      <w:r w:rsidR="003B0979">
        <w:rPr>
          <w:noProof/>
        </w:rPr>
        <w:t xml:space="preserve">posée par </w:t>
      </w:r>
      <w:r>
        <w:rPr>
          <w:noProof/>
        </w:rPr>
        <w:t>un député grec au Parlement européen concernant les mesures adoptées le 26 janvier 2012, la commissaire Viviane Reding souligna que la Commission</w:t>
      </w:r>
      <w:r w:rsidR="007E4F22">
        <w:rPr>
          <w:noProof/>
        </w:rPr>
        <w:t xml:space="preserve"> e</w:t>
      </w:r>
      <w:r w:rsidR="00DA2BCA">
        <w:rPr>
          <w:noProof/>
        </w:rPr>
        <w:t>uropéenne</w:t>
      </w:r>
      <w:r>
        <w:rPr>
          <w:noProof/>
        </w:rPr>
        <w:t xml:space="preserve"> considérait que ces mesures n</w:t>
      </w:r>
      <w:r w:rsidR="008615F7">
        <w:rPr>
          <w:noProof/>
        </w:rPr>
        <w:t>’</w:t>
      </w:r>
      <w:r>
        <w:rPr>
          <w:noProof/>
        </w:rPr>
        <w:t xml:space="preserve">étaient pas suffisantes pour </w:t>
      </w:r>
      <w:r w:rsidR="003B0979">
        <w:rPr>
          <w:noProof/>
        </w:rPr>
        <w:t>mettre un terme à</w:t>
      </w:r>
      <w:r>
        <w:rPr>
          <w:noProof/>
        </w:rPr>
        <w:t xml:space="preserve"> la ségrégation raciale, même si </w:t>
      </w:r>
      <w:r w:rsidR="009B4E3B">
        <w:rPr>
          <w:noProof/>
        </w:rPr>
        <w:t>elles r</w:t>
      </w:r>
      <w:r w:rsidR="003B0979">
        <w:rPr>
          <w:noProof/>
        </w:rPr>
        <w:t>e</w:t>
      </w:r>
      <w:r w:rsidR="009B4E3B">
        <w:rPr>
          <w:noProof/>
        </w:rPr>
        <w:t>fl</w:t>
      </w:r>
      <w:r w:rsidR="003B0979">
        <w:rPr>
          <w:noProof/>
        </w:rPr>
        <w:t>é</w:t>
      </w:r>
      <w:r w:rsidR="009B4E3B">
        <w:rPr>
          <w:noProof/>
        </w:rPr>
        <w:t>taient la volonté d</w:t>
      </w:r>
      <w:r w:rsidR="008615F7">
        <w:rPr>
          <w:noProof/>
        </w:rPr>
        <w:t>’</w:t>
      </w:r>
      <w:r w:rsidR="009B4E3B">
        <w:rPr>
          <w:noProof/>
        </w:rPr>
        <w:t>aborder le problème.</w:t>
      </w:r>
    </w:p>
    <w:p w:rsidR="0000732D" w:rsidRPr="00520ECC" w:rsidRDefault="0000732D" w:rsidP="00B33C50">
      <w:pPr>
        <w:pStyle w:val="JuHIRoman"/>
        <w:outlineLvl w:val="0"/>
      </w:pPr>
      <w:r w:rsidRPr="00520ECC">
        <w:t>II.  LE DROIT ET LA PRATIQUE INTERNES PERTINENTS</w:t>
      </w:r>
    </w:p>
    <w:p w:rsidR="00AC76D5" w:rsidRPr="00B45563" w:rsidRDefault="00520ECC" w:rsidP="00AC76D5">
      <w:pPr>
        <w:pStyle w:val="JuPara"/>
      </w:pPr>
      <w:r w:rsidRPr="00520ECC">
        <w:fldChar w:fldCharType="begin"/>
      </w:r>
      <w:r w:rsidRPr="00520ECC">
        <w:instrText xml:space="preserve"> SEQ level0 \*arabic </w:instrText>
      </w:r>
      <w:r w:rsidRPr="00520ECC">
        <w:fldChar w:fldCharType="separate"/>
      </w:r>
      <w:r w:rsidR="00554499">
        <w:rPr>
          <w:noProof/>
        </w:rPr>
        <w:t>25</w:t>
      </w:r>
      <w:r w:rsidRPr="00520ECC">
        <w:fldChar w:fldCharType="end"/>
      </w:r>
      <w:r w:rsidR="0000732D" w:rsidRPr="00520ECC">
        <w:t>.  </w:t>
      </w:r>
      <w:r w:rsidR="004542B7">
        <w:t xml:space="preserve">Selon les </w:t>
      </w:r>
      <w:r w:rsidR="00AC76D5" w:rsidRPr="00B45563">
        <w:t>article</w:t>
      </w:r>
      <w:r w:rsidR="004542B7">
        <w:t>s</w:t>
      </w:r>
      <w:r w:rsidR="00AC76D5" w:rsidRPr="00B45563">
        <w:t xml:space="preserve"> 7 § 1 </w:t>
      </w:r>
      <w:r w:rsidR="004542B7">
        <w:t xml:space="preserve">et 8 </w:t>
      </w:r>
      <w:r w:rsidR="00AC76D5" w:rsidRPr="00B45563">
        <w:t>du décret présidentiel n</w:t>
      </w:r>
      <w:r w:rsidR="00AC76D5" w:rsidRPr="00B45563">
        <w:rPr>
          <w:vertAlign w:val="superscript"/>
        </w:rPr>
        <w:t>o</w:t>
      </w:r>
      <w:r w:rsidR="00AC76D5" w:rsidRPr="00B45563">
        <w:t xml:space="preserve"> 201/1998</w:t>
      </w:r>
      <w:r w:rsidR="005D4A19">
        <w:t> :</w:t>
      </w:r>
    </w:p>
    <w:p w:rsidR="004542B7" w:rsidRPr="004542B7" w:rsidRDefault="004542B7" w:rsidP="004542B7">
      <w:pPr>
        <w:pStyle w:val="JuHArticle"/>
      </w:pPr>
      <w:r w:rsidRPr="004542B7">
        <w:t>Article 7 § 1</w:t>
      </w:r>
    </w:p>
    <w:p w:rsidR="00AC76D5" w:rsidRDefault="00AC76D5" w:rsidP="00AC76D5">
      <w:pPr>
        <w:pStyle w:val="JuQuot"/>
      </w:pPr>
      <w:r w:rsidRPr="00D75925">
        <w:t>« Sont enregistrés en première classe de l</w:t>
      </w:r>
      <w:r w:rsidR="008615F7">
        <w:t>’</w:t>
      </w:r>
      <w:r w:rsidRPr="00D75925">
        <w:t xml:space="preserve">école primaire tous les </w:t>
      </w:r>
      <w:r w:rsidR="00DC6A74">
        <w:t>enfants</w:t>
      </w:r>
      <w:r w:rsidRPr="00D75925">
        <w:t xml:space="preserve"> ayant atteint l</w:t>
      </w:r>
      <w:r w:rsidR="008615F7">
        <w:t>’</w:t>
      </w:r>
      <w:r w:rsidRPr="00D75925">
        <w:t>âge légal de scolarité. Les inscriptions ont lieu du 1</w:t>
      </w:r>
      <w:r w:rsidRPr="00D75925">
        <w:rPr>
          <w:vertAlign w:val="superscript"/>
        </w:rPr>
        <w:t>er</w:t>
      </w:r>
      <w:r w:rsidRPr="00D75925">
        <w:t xml:space="preserve"> au 15 juin de l</w:t>
      </w:r>
      <w:r w:rsidR="008615F7">
        <w:t>’</w:t>
      </w:r>
      <w:r w:rsidRPr="00D75925">
        <w:t xml:space="preserve">année </w:t>
      </w:r>
      <w:r>
        <w:t xml:space="preserve">scolaire </w:t>
      </w:r>
      <w:r w:rsidRPr="00D75925">
        <w:t>précédente (</w:t>
      </w:r>
      <w:r>
        <w:t>...</w:t>
      </w:r>
      <w:r w:rsidR="004542B7">
        <w:t>) »</w:t>
      </w:r>
    </w:p>
    <w:p w:rsidR="004542B7" w:rsidRDefault="004542B7" w:rsidP="00AC76D5">
      <w:pPr>
        <w:pStyle w:val="JuQuot"/>
      </w:pPr>
    </w:p>
    <w:p w:rsidR="004542B7" w:rsidRDefault="004542B7" w:rsidP="004542B7">
      <w:pPr>
        <w:pStyle w:val="JuHArticle"/>
      </w:pPr>
      <w:r w:rsidRPr="004542B7">
        <w:t xml:space="preserve">Article </w:t>
      </w:r>
      <w:r>
        <w:t>8</w:t>
      </w:r>
    </w:p>
    <w:p w:rsidR="004542B7" w:rsidRDefault="004542B7" w:rsidP="004542B7">
      <w:pPr>
        <w:pStyle w:val="JuQuot"/>
      </w:pPr>
      <w:r>
        <w:t>« 1. Des transferts d</w:t>
      </w:r>
      <w:r w:rsidR="008615F7">
        <w:t>’</w:t>
      </w:r>
      <w:r>
        <w:t>élèves d</w:t>
      </w:r>
      <w:r w:rsidR="008615F7">
        <w:t>’</w:t>
      </w:r>
      <w:r>
        <w:t>une école à l</w:t>
      </w:r>
      <w:r w:rsidR="008615F7">
        <w:t>’</w:t>
      </w:r>
      <w:r>
        <w:t>autre sont permis dans les cas suivants :</w:t>
      </w:r>
    </w:p>
    <w:p w:rsidR="004542B7" w:rsidRDefault="004542B7" w:rsidP="004542B7">
      <w:pPr>
        <w:pStyle w:val="JuQuot"/>
      </w:pPr>
      <w:r>
        <w:t>(</w:t>
      </w:r>
      <w:r w:rsidR="000F6FD5">
        <w:t>...</w:t>
      </w:r>
      <w:r>
        <w:t>)</w:t>
      </w:r>
    </w:p>
    <w:p w:rsidR="004542B7" w:rsidRDefault="004542B7" w:rsidP="004542B7">
      <w:pPr>
        <w:pStyle w:val="JuQuot"/>
      </w:pPr>
      <w:r>
        <w:t>b. Création d</w:t>
      </w:r>
      <w:r w:rsidR="008615F7">
        <w:t>’</w:t>
      </w:r>
      <w:r>
        <w:t>une nouvelle école dans le secteur où le domicile de l</w:t>
      </w:r>
      <w:r w:rsidR="008615F7">
        <w:t>’</w:t>
      </w:r>
      <w:r>
        <w:t>élève est situé, et dans ce cas, après la fixation de la zone d</w:t>
      </w:r>
      <w:r w:rsidR="008615F7">
        <w:t>’</w:t>
      </w:r>
      <w:r>
        <w:t>affectation de la nouvelle école, le transfert est obligatoire et s</w:t>
      </w:r>
      <w:r w:rsidR="008615F7">
        <w:t>’</w:t>
      </w:r>
      <w:r>
        <w:t>effectue sans demande de la part des parents ou du tuteur.</w:t>
      </w:r>
    </w:p>
    <w:p w:rsidR="004542B7" w:rsidRPr="004542B7" w:rsidRDefault="004542B7" w:rsidP="004542B7">
      <w:pPr>
        <w:pStyle w:val="JuQuot"/>
      </w:pPr>
      <w:r>
        <w:t>(</w:t>
      </w:r>
      <w:r w:rsidR="000F6FD5">
        <w:t>...</w:t>
      </w:r>
      <w:r>
        <w:t>) »</w:t>
      </w:r>
    </w:p>
    <w:p w:rsidR="004001B6" w:rsidRDefault="00FB4A3C" w:rsidP="00AC76D5">
      <w:pPr>
        <w:pStyle w:val="JuPara"/>
      </w:pPr>
      <w:r>
        <w:fldChar w:fldCharType="begin"/>
      </w:r>
      <w:r>
        <w:instrText xml:space="preserve"> SEQ level0 \*arabic </w:instrText>
      </w:r>
      <w:r>
        <w:fldChar w:fldCharType="separate"/>
      </w:r>
      <w:r w:rsidR="00554499">
        <w:rPr>
          <w:noProof/>
        </w:rPr>
        <w:t>26</w:t>
      </w:r>
      <w:r>
        <w:fldChar w:fldCharType="end"/>
      </w:r>
      <w:r>
        <w:t>.  </w:t>
      </w:r>
      <w:r w:rsidR="00AC76D5" w:rsidRPr="00B45563">
        <w:t xml:space="preserve">La </w:t>
      </w:r>
      <w:r w:rsidR="004B1AB1">
        <w:t xml:space="preserve">circulaire </w:t>
      </w:r>
      <w:r w:rsidR="004001B6">
        <w:t>11684/</w:t>
      </w:r>
      <w:r w:rsidR="00AC76D5" w:rsidRPr="00B45563">
        <w:t>/</w:t>
      </w:r>
      <w:r w:rsidR="00AC76D5" w:rsidRPr="00D75925">
        <w:t>Γ</w:t>
      </w:r>
      <w:r w:rsidR="004001B6">
        <w:t>1/10</w:t>
      </w:r>
      <w:r w:rsidR="00A254FD">
        <w:t>.</w:t>
      </w:r>
      <w:r w:rsidR="004001B6">
        <w:t>09.2008</w:t>
      </w:r>
      <w:r w:rsidR="00A254FD">
        <w:t xml:space="preserve"> du ministère</w:t>
      </w:r>
      <w:r w:rsidR="00AC76D5" w:rsidRPr="00B45563">
        <w:t xml:space="preserve"> de l</w:t>
      </w:r>
      <w:r w:rsidR="008615F7">
        <w:t>’</w:t>
      </w:r>
      <w:r w:rsidR="00AC76D5" w:rsidRPr="00B45563">
        <w:t xml:space="preserve">Education nationale et des Affaires religieuses </w:t>
      </w:r>
      <w:r w:rsidR="005A2B4F">
        <w:t xml:space="preserve">recommande que les élèves roms soient </w:t>
      </w:r>
      <w:r w:rsidR="005D4A19">
        <w:t>répartis</w:t>
      </w:r>
      <w:r w:rsidR="005A2B4F">
        <w:t xml:space="preserve"> entre les classes car</w:t>
      </w:r>
      <w:r w:rsidR="005D4A19">
        <w:t>,</w:t>
      </w:r>
      <w:r w:rsidR="005A2B4F">
        <w:t xml:space="preserve"> « conformément aux principes de l</w:t>
      </w:r>
      <w:r w:rsidR="008615F7">
        <w:t>’</w:t>
      </w:r>
      <w:r w:rsidR="005A2B4F">
        <w:t>éducation interculturelle, dans chaque école,</w:t>
      </w:r>
      <w:r w:rsidR="002F589C">
        <w:t xml:space="preserve"> les élèves relevant de l</w:t>
      </w:r>
      <w:r w:rsidR="008615F7">
        <w:t>’</w:t>
      </w:r>
      <w:r w:rsidR="002F589C">
        <w:t>éducation interculturelle ne doivent pas dépasser 50</w:t>
      </w:r>
      <w:r w:rsidR="005D4A19">
        <w:t> </w:t>
      </w:r>
      <w:r w:rsidR="002F589C">
        <w:t xml:space="preserve">% du nombre total des élèves par classe. Au cas où </w:t>
      </w:r>
      <w:r w:rsidR="005178B5">
        <w:t>leur nombre</w:t>
      </w:r>
      <w:r w:rsidR="002F589C">
        <w:t xml:space="preserve"> dépasse</w:t>
      </w:r>
      <w:r w:rsidR="005178B5">
        <w:t>rait</w:t>
      </w:r>
      <w:r w:rsidR="002F589C">
        <w:t xml:space="preserve"> ce pourcentage par classe, il </w:t>
      </w:r>
      <w:r w:rsidR="002F589C" w:rsidRPr="007F7B6A">
        <w:t xml:space="preserve">faudrait en informer le </w:t>
      </w:r>
      <w:r w:rsidR="005D4A19" w:rsidRPr="007F7B6A">
        <w:t>c</w:t>
      </w:r>
      <w:r w:rsidR="002F589C" w:rsidRPr="007F7B6A">
        <w:t>onseiller de l</w:t>
      </w:r>
      <w:r w:rsidR="008615F7">
        <w:t>’</w:t>
      </w:r>
      <w:r w:rsidR="005D4A19" w:rsidRPr="007F7B6A">
        <w:t>é</w:t>
      </w:r>
      <w:r w:rsidR="002F589C" w:rsidRPr="007F7B6A">
        <w:t>ducation qui traitera le problème ».</w:t>
      </w:r>
    </w:p>
    <w:p w:rsidR="00A254FD" w:rsidRDefault="00A254FD" w:rsidP="00AC76D5">
      <w:pPr>
        <w:pStyle w:val="JuPara"/>
      </w:pPr>
      <w:r>
        <w:fldChar w:fldCharType="begin"/>
      </w:r>
      <w:r>
        <w:instrText xml:space="preserve"> SEQ level0 \*arabic </w:instrText>
      </w:r>
      <w:r>
        <w:fldChar w:fldCharType="separate"/>
      </w:r>
      <w:r w:rsidR="00554499">
        <w:rPr>
          <w:noProof/>
        </w:rPr>
        <w:t>27</w:t>
      </w:r>
      <w:r>
        <w:fldChar w:fldCharType="end"/>
      </w:r>
      <w:r>
        <w:t>.  </w:t>
      </w:r>
      <w:r w:rsidRPr="00B45563">
        <w:t>La</w:t>
      </w:r>
      <w:r>
        <w:t xml:space="preserve"> </w:t>
      </w:r>
      <w:r w:rsidR="004B1AB1">
        <w:t xml:space="preserve">circulaire </w:t>
      </w:r>
      <w:r w:rsidRPr="00D75925">
        <w:t>Φ</w:t>
      </w:r>
      <w:r>
        <w:t>.3/960/102679</w:t>
      </w:r>
      <w:r w:rsidRPr="00B45563">
        <w:t>/</w:t>
      </w:r>
      <w:r w:rsidRPr="00D75925">
        <w:t>Γ</w:t>
      </w:r>
      <w:r>
        <w:t>1/20.</w:t>
      </w:r>
      <w:r w:rsidR="005A2B4F">
        <w:t>0</w:t>
      </w:r>
      <w:r>
        <w:t>8.2010</w:t>
      </w:r>
      <w:r w:rsidRPr="00B45563">
        <w:t xml:space="preserve"> du</w:t>
      </w:r>
      <w:r>
        <w:t xml:space="preserve"> même ministère, en son paragraphe 12, précise ce qui suit :</w:t>
      </w:r>
    </w:p>
    <w:p w:rsidR="00A254FD" w:rsidRPr="00B45563" w:rsidRDefault="00A254FD" w:rsidP="00493FA3">
      <w:pPr>
        <w:pStyle w:val="JuQuot"/>
      </w:pPr>
      <w:r>
        <w:t>« Il est rappelé que l</w:t>
      </w:r>
      <w:r w:rsidR="008615F7">
        <w:t>’</w:t>
      </w:r>
      <w:r>
        <w:t>intégration des enfants rom</w:t>
      </w:r>
      <w:r w:rsidR="005D4A19">
        <w:t>s</w:t>
      </w:r>
      <w:r>
        <w:t xml:space="preserve"> </w:t>
      </w:r>
      <w:r w:rsidR="005D4A19">
        <w:t>dans les</w:t>
      </w:r>
      <w:r>
        <w:t xml:space="preserve"> classes normales </w:t>
      </w:r>
      <w:r w:rsidR="005D4A19">
        <w:t xml:space="preserve">répond à </w:t>
      </w:r>
      <w:r>
        <w:t xml:space="preserve">une volonté et </w:t>
      </w:r>
      <w:r w:rsidR="005D4A19">
        <w:t xml:space="preserve">à </w:t>
      </w:r>
      <w:r>
        <w:t xml:space="preserve">un but constants </w:t>
      </w:r>
      <w:r w:rsidR="00512B4E">
        <w:t>du ministère de l</w:t>
      </w:r>
      <w:r w:rsidR="008615F7">
        <w:t>’</w:t>
      </w:r>
      <w:r w:rsidR="00512B4E">
        <w:t xml:space="preserve">Education et que leur exclusion et/ou ségrégation </w:t>
      </w:r>
      <w:r w:rsidR="00DD10B3">
        <w:t>par rapport</w:t>
      </w:r>
      <w:r w:rsidR="005D4A19">
        <w:t xml:space="preserve"> aux</w:t>
      </w:r>
      <w:r w:rsidR="00512B4E">
        <w:t xml:space="preserve"> autres élèves et leur marginalisation </w:t>
      </w:r>
      <w:r w:rsidR="00C8522F">
        <w:t xml:space="preserve">sont </w:t>
      </w:r>
      <w:r w:rsidR="00512B4E">
        <w:t>contraire</w:t>
      </w:r>
      <w:r w:rsidR="00C8522F">
        <w:t>s</w:t>
      </w:r>
      <w:r w:rsidR="00512B4E">
        <w:t xml:space="preserve"> à la Constitution grecque, à la loi n</w:t>
      </w:r>
      <w:r w:rsidR="003759D8" w:rsidRPr="003759D8">
        <w:rPr>
          <w:vertAlign w:val="superscript"/>
        </w:rPr>
        <w:t>o</w:t>
      </w:r>
      <w:r w:rsidR="00512B4E">
        <w:t xml:space="preserve"> 3304/2005 qui interdit les discriminations en matière d</w:t>
      </w:r>
      <w:r w:rsidR="008615F7">
        <w:t>’</w:t>
      </w:r>
      <w:r w:rsidR="00512B4E">
        <w:t>éducation pour des motifs d</w:t>
      </w:r>
      <w:r w:rsidR="008615F7">
        <w:t>’</w:t>
      </w:r>
      <w:r w:rsidR="00512B4E">
        <w:t>origine raciale ou nationale ainsi qu</w:t>
      </w:r>
      <w:r w:rsidR="008615F7">
        <w:t>’</w:t>
      </w:r>
      <w:r w:rsidR="00512B4E">
        <w:t>à plusieurs textes internationaux qui lie</w:t>
      </w:r>
      <w:r w:rsidR="005D4A19">
        <w:t>nt</w:t>
      </w:r>
      <w:r w:rsidR="00512B4E">
        <w:t xml:space="preserve"> le pays et ont valeur supralégislative (à titre d</w:t>
      </w:r>
      <w:r w:rsidR="008615F7">
        <w:t>’</w:t>
      </w:r>
      <w:r w:rsidR="00512B4E">
        <w:t>exemple</w:t>
      </w:r>
      <w:r w:rsidR="00C8522F">
        <w:t>,</w:t>
      </w:r>
      <w:r w:rsidR="00512B4E">
        <w:t xml:space="preserve"> la Convention européenne des droits de l</w:t>
      </w:r>
      <w:r w:rsidR="008615F7">
        <w:t>’</w:t>
      </w:r>
      <w:r w:rsidR="00512B4E">
        <w:t>hom</w:t>
      </w:r>
      <w:r w:rsidR="005D4A19">
        <w:t>m</w:t>
      </w:r>
      <w:r w:rsidR="00512B4E">
        <w:t>e et la Convention internationale des Nations</w:t>
      </w:r>
      <w:r w:rsidR="005D4A19">
        <w:t xml:space="preserve"> </w:t>
      </w:r>
      <w:r w:rsidR="00C8522F">
        <w:t>u</w:t>
      </w:r>
      <w:r w:rsidR="00512B4E">
        <w:t>nies pour les droits de l</w:t>
      </w:r>
      <w:r w:rsidR="008615F7">
        <w:t>’</w:t>
      </w:r>
      <w:r w:rsidR="00512B4E">
        <w:t>enfant)</w:t>
      </w:r>
      <w:r w:rsidR="005D4A19">
        <w:t>.</w:t>
      </w:r>
      <w:r w:rsidR="00493FA3">
        <w:t> »</w:t>
      </w:r>
    </w:p>
    <w:p w:rsidR="00AC76D5" w:rsidRPr="005D4A19" w:rsidRDefault="00FB4A3C" w:rsidP="00AC76D5">
      <w:pPr>
        <w:pStyle w:val="JuPara"/>
      </w:pPr>
      <w:r w:rsidRPr="005D4A19">
        <w:fldChar w:fldCharType="begin"/>
      </w:r>
      <w:r w:rsidRPr="005D4A19">
        <w:instrText xml:space="preserve"> SEQ level0 \*arabic </w:instrText>
      </w:r>
      <w:r w:rsidRPr="005D4A19">
        <w:fldChar w:fldCharType="separate"/>
      </w:r>
      <w:r w:rsidR="00554499">
        <w:rPr>
          <w:noProof/>
        </w:rPr>
        <w:t>28</w:t>
      </w:r>
      <w:r w:rsidRPr="005D4A19">
        <w:fldChar w:fldCharType="end"/>
      </w:r>
      <w:r w:rsidRPr="005D4A19">
        <w:t>.  </w:t>
      </w:r>
      <w:r w:rsidR="00EE50E6" w:rsidRPr="005D4A19">
        <w:t>L</w:t>
      </w:r>
      <w:r w:rsidR="008615F7">
        <w:t>’</w:t>
      </w:r>
      <w:r w:rsidR="00EE50E6" w:rsidRPr="005D4A19">
        <w:t>article 45</w:t>
      </w:r>
      <w:r w:rsidR="00AC76D5" w:rsidRPr="005D4A19">
        <w:t xml:space="preserve"> du décret législatif n</w:t>
      </w:r>
      <w:r w:rsidR="00AC76D5" w:rsidRPr="005D4A19">
        <w:rPr>
          <w:vertAlign w:val="superscript"/>
        </w:rPr>
        <w:t>o</w:t>
      </w:r>
      <w:r w:rsidR="00AC76D5" w:rsidRPr="005D4A19">
        <w:t xml:space="preserve"> 18/1989 </w:t>
      </w:r>
      <w:r w:rsidR="005D4A19">
        <w:rPr>
          <w:rStyle w:val="ju-005fpara--char"/>
          <w:iCs/>
        </w:rPr>
        <w:t>c</w:t>
      </w:r>
      <w:r w:rsidR="00AC76D5" w:rsidRPr="005D4A19">
        <w:rPr>
          <w:rStyle w:val="ju-005fpara--char"/>
          <w:iCs/>
        </w:rPr>
        <w:t>odifi</w:t>
      </w:r>
      <w:r w:rsidR="00C8522F">
        <w:rPr>
          <w:rStyle w:val="ju-005fpara--char"/>
          <w:iCs/>
        </w:rPr>
        <w:t>ant l</w:t>
      </w:r>
      <w:r w:rsidR="00AC76D5" w:rsidRPr="005D4A19">
        <w:rPr>
          <w:rStyle w:val="ju-005fpara--char"/>
          <w:iCs/>
        </w:rPr>
        <w:t xml:space="preserve">es dispositions </w:t>
      </w:r>
      <w:r w:rsidR="00C8522F">
        <w:rPr>
          <w:rStyle w:val="ju-005fpara--char"/>
          <w:iCs/>
        </w:rPr>
        <w:t>légales relatives au</w:t>
      </w:r>
      <w:r w:rsidR="00AC76D5" w:rsidRPr="005D4A19">
        <w:rPr>
          <w:rStyle w:val="ju-005fpara--char"/>
          <w:iCs/>
        </w:rPr>
        <w:t xml:space="preserve"> Conseil d</w:t>
      </w:r>
      <w:r w:rsidR="008615F7">
        <w:rPr>
          <w:rStyle w:val="ju-005fpara--char"/>
          <w:iCs/>
        </w:rPr>
        <w:t>’</w:t>
      </w:r>
      <w:r w:rsidR="00AC76D5" w:rsidRPr="005D4A19">
        <w:rPr>
          <w:rStyle w:val="ju-005fpara--char"/>
          <w:iCs/>
        </w:rPr>
        <w:t>Etat</w:t>
      </w:r>
      <w:r w:rsidR="00AC76D5" w:rsidRPr="005D4A19">
        <w:t xml:space="preserve"> </w:t>
      </w:r>
      <w:r w:rsidR="005D4A19">
        <w:t>est ainsi rédigé</w:t>
      </w:r>
      <w:r w:rsidR="00AC76D5" w:rsidRPr="005D4A19">
        <w:t> :</w:t>
      </w:r>
    </w:p>
    <w:p w:rsidR="00AC76D5" w:rsidRPr="00B45563" w:rsidRDefault="00AC76D5" w:rsidP="00AC76D5">
      <w:pPr>
        <w:pStyle w:val="JuHArticle"/>
        <w:rPr>
          <w:lang w:eastAsia="en-GB"/>
        </w:rPr>
      </w:pPr>
      <w:r w:rsidRPr="00B45563">
        <w:rPr>
          <w:lang w:eastAsia="en-GB"/>
        </w:rPr>
        <w:t>Actes incriminés</w:t>
      </w:r>
    </w:p>
    <w:p w:rsidR="00AC76D5" w:rsidRPr="00D75925" w:rsidRDefault="00AC76D5" w:rsidP="00AC76D5">
      <w:pPr>
        <w:pStyle w:val="JuQuot"/>
        <w:rPr>
          <w:szCs w:val="24"/>
          <w:lang w:eastAsia="en-GB"/>
        </w:rPr>
      </w:pPr>
      <w:r w:rsidRPr="00D75925">
        <w:rPr>
          <w:szCs w:val="24"/>
          <w:lang w:eastAsia="en-GB"/>
        </w:rPr>
        <w:t>« 1.</w:t>
      </w:r>
      <w:r w:rsidR="005D4A19">
        <w:rPr>
          <w:szCs w:val="24"/>
          <w:lang w:eastAsia="en-GB"/>
        </w:rPr>
        <w:t>  </w:t>
      </w:r>
      <w:r w:rsidRPr="00D75925">
        <w:rPr>
          <w:szCs w:val="24"/>
          <w:lang w:eastAsia="en-GB"/>
        </w:rPr>
        <w:t>Le recours en annulation pour excès de pouvoir ou violation de la loi est recevable uniquement contre les actes exécutoires des autorités administratives et des personnes morales de droit public qui ne sont susceptibles de recours devant aucune autre juridiction.</w:t>
      </w:r>
    </w:p>
    <w:p w:rsidR="00AC76D5" w:rsidRPr="00D75925" w:rsidRDefault="00AC76D5" w:rsidP="00AC76D5">
      <w:pPr>
        <w:pStyle w:val="JuQuot"/>
        <w:rPr>
          <w:szCs w:val="24"/>
          <w:lang w:eastAsia="en-GB"/>
        </w:rPr>
      </w:pPr>
      <w:r w:rsidRPr="00D75925">
        <w:rPr>
          <w:szCs w:val="24"/>
          <w:lang w:eastAsia="en-GB"/>
        </w:rPr>
        <w:t>(...)</w:t>
      </w:r>
    </w:p>
    <w:p w:rsidR="00AC76D5" w:rsidRPr="00D75925" w:rsidRDefault="00AC76D5" w:rsidP="00AC76D5">
      <w:pPr>
        <w:pStyle w:val="JuQuot"/>
        <w:rPr>
          <w:szCs w:val="24"/>
          <w:lang w:eastAsia="en-GB"/>
        </w:rPr>
      </w:pPr>
      <w:r w:rsidRPr="00D75925">
        <w:rPr>
          <w:szCs w:val="24"/>
          <w:lang w:eastAsia="en-GB"/>
        </w:rPr>
        <w:t>4.</w:t>
      </w:r>
      <w:r w:rsidR="005D4A19">
        <w:rPr>
          <w:szCs w:val="24"/>
          <w:lang w:eastAsia="en-GB"/>
        </w:rPr>
        <w:t>  </w:t>
      </w:r>
      <w:r w:rsidRPr="00D75925">
        <w:rPr>
          <w:szCs w:val="24"/>
          <w:lang w:eastAsia="en-GB"/>
        </w:rPr>
        <w:t>Dans les cas où la loi impose à une autorité de régler une question déterminée en édictant un acte exécutoire soumis aux dispositions du paragraphe 1, le recours en annulation est recevable même contre la carence de cette autorité à édicter un tel acte.</w:t>
      </w:r>
    </w:p>
    <w:p w:rsidR="00AC76D5" w:rsidRPr="00D75925" w:rsidRDefault="00AC76D5" w:rsidP="00AC76D5">
      <w:pPr>
        <w:pStyle w:val="JuQuot"/>
        <w:rPr>
          <w:szCs w:val="24"/>
          <w:lang w:eastAsia="en-GB"/>
        </w:rPr>
      </w:pPr>
      <w:r w:rsidRPr="00D75925">
        <w:rPr>
          <w:szCs w:val="24"/>
          <w:lang w:eastAsia="en-GB"/>
        </w:rPr>
        <w:t>L</w:t>
      </w:r>
      <w:r w:rsidR="008615F7">
        <w:rPr>
          <w:szCs w:val="24"/>
          <w:lang w:eastAsia="en-GB"/>
        </w:rPr>
        <w:t>’</w:t>
      </w:r>
      <w:r w:rsidRPr="00D75925">
        <w:rPr>
          <w:szCs w:val="24"/>
          <w:lang w:eastAsia="en-GB"/>
        </w:rPr>
        <w:t>autorité est présumée refuser d</w:t>
      </w:r>
      <w:r w:rsidR="008615F7">
        <w:rPr>
          <w:szCs w:val="24"/>
          <w:lang w:eastAsia="en-GB"/>
        </w:rPr>
        <w:t>’</w:t>
      </w:r>
      <w:r w:rsidRPr="00D75925">
        <w:rPr>
          <w:szCs w:val="24"/>
          <w:lang w:eastAsia="en-GB"/>
        </w:rPr>
        <w:t>édicter l</w:t>
      </w:r>
      <w:r w:rsidR="008615F7">
        <w:rPr>
          <w:szCs w:val="24"/>
          <w:lang w:eastAsia="en-GB"/>
        </w:rPr>
        <w:t>’</w:t>
      </w:r>
      <w:r w:rsidRPr="00D75925">
        <w:rPr>
          <w:szCs w:val="24"/>
          <w:lang w:eastAsia="en-GB"/>
        </w:rPr>
        <w:t xml:space="preserve">acte soit lorsque le délai spécial fixé </w:t>
      </w:r>
      <w:r w:rsidR="005D4A19">
        <w:rPr>
          <w:szCs w:val="24"/>
          <w:lang w:eastAsia="en-GB"/>
        </w:rPr>
        <w:t xml:space="preserve">le cas échéant </w:t>
      </w:r>
      <w:r w:rsidRPr="00D75925">
        <w:rPr>
          <w:szCs w:val="24"/>
          <w:lang w:eastAsia="en-GB"/>
        </w:rPr>
        <w:t>par la loi arrive à expiration, soit après l</w:t>
      </w:r>
      <w:r w:rsidR="008615F7">
        <w:rPr>
          <w:szCs w:val="24"/>
          <w:lang w:eastAsia="en-GB"/>
        </w:rPr>
        <w:t>’</w:t>
      </w:r>
      <w:r w:rsidRPr="00D75925">
        <w:rPr>
          <w:szCs w:val="24"/>
          <w:lang w:eastAsia="en-GB"/>
        </w:rPr>
        <w:t>écoulement d</w:t>
      </w:r>
      <w:r w:rsidR="008615F7">
        <w:rPr>
          <w:szCs w:val="24"/>
          <w:lang w:eastAsia="en-GB"/>
        </w:rPr>
        <w:t>’</w:t>
      </w:r>
      <w:r w:rsidRPr="00D75925">
        <w:rPr>
          <w:szCs w:val="24"/>
          <w:lang w:eastAsia="en-GB"/>
        </w:rPr>
        <w:t>un délai de trois mois à partir du dépôt de la requête auprès de l</w:t>
      </w:r>
      <w:r w:rsidR="008615F7">
        <w:rPr>
          <w:szCs w:val="24"/>
          <w:lang w:eastAsia="en-GB"/>
        </w:rPr>
        <w:t>’</w:t>
      </w:r>
      <w:r w:rsidRPr="00D75925">
        <w:rPr>
          <w:szCs w:val="24"/>
          <w:lang w:eastAsia="en-GB"/>
        </w:rPr>
        <w:t>administration, qui est tenue de délivrer un accusé de réception (...) indiquant le jour dudit dépôt. Le recours en annulation exercé avant l</w:t>
      </w:r>
      <w:r w:rsidR="008615F7">
        <w:rPr>
          <w:szCs w:val="24"/>
          <w:lang w:eastAsia="en-GB"/>
        </w:rPr>
        <w:t>’</w:t>
      </w:r>
      <w:r w:rsidRPr="00D75925">
        <w:rPr>
          <w:szCs w:val="24"/>
          <w:lang w:eastAsia="en-GB"/>
        </w:rPr>
        <w:t>expiration des délais susmentionnés est irrecevable.</w:t>
      </w:r>
    </w:p>
    <w:p w:rsidR="00AC76D5" w:rsidRPr="00D75925" w:rsidRDefault="00AC76D5" w:rsidP="00AC76D5">
      <w:pPr>
        <w:pStyle w:val="JuQuot"/>
        <w:rPr>
          <w:szCs w:val="24"/>
          <w:lang w:eastAsia="en-GB"/>
        </w:rPr>
      </w:pPr>
      <w:r w:rsidRPr="00D75925">
        <w:rPr>
          <w:szCs w:val="24"/>
          <w:lang w:eastAsia="en-GB"/>
        </w:rPr>
        <w:t>Le recours en annulation valablement introduit contre un refus implicite [de l</w:t>
      </w:r>
      <w:r w:rsidR="008615F7">
        <w:rPr>
          <w:szCs w:val="24"/>
          <w:lang w:eastAsia="en-GB"/>
        </w:rPr>
        <w:t>’</w:t>
      </w:r>
      <w:r w:rsidRPr="00D75925">
        <w:rPr>
          <w:szCs w:val="24"/>
          <w:lang w:eastAsia="en-GB"/>
        </w:rPr>
        <w:t>administration] vaut également recours contre l</w:t>
      </w:r>
      <w:r w:rsidR="008615F7">
        <w:rPr>
          <w:szCs w:val="24"/>
          <w:lang w:eastAsia="en-GB"/>
        </w:rPr>
        <w:t>’</w:t>
      </w:r>
      <w:r w:rsidRPr="00D75925">
        <w:rPr>
          <w:szCs w:val="24"/>
          <w:lang w:eastAsia="en-GB"/>
        </w:rPr>
        <w:t>acte négatif qui serait</w:t>
      </w:r>
      <w:r w:rsidR="005D4A19">
        <w:rPr>
          <w:szCs w:val="24"/>
          <w:lang w:eastAsia="en-GB"/>
        </w:rPr>
        <w:t>,</w:t>
      </w:r>
      <w:r w:rsidRPr="00D75925">
        <w:rPr>
          <w:szCs w:val="24"/>
          <w:lang w:eastAsia="en-GB"/>
        </w:rPr>
        <w:t xml:space="preserve"> le cas échéant</w:t>
      </w:r>
      <w:r w:rsidR="005D4A19">
        <w:rPr>
          <w:szCs w:val="24"/>
          <w:lang w:eastAsia="en-GB"/>
        </w:rPr>
        <w:t>,</w:t>
      </w:r>
      <w:r w:rsidRPr="00D75925">
        <w:rPr>
          <w:szCs w:val="24"/>
          <w:lang w:eastAsia="en-GB"/>
        </w:rPr>
        <w:t xml:space="preserve"> adopté ultérieurement par l</w:t>
      </w:r>
      <w:r w:rsidR="008615F7">
        <w:rPr>
          <w:szCs w:val="24"/>
          <w:lang w:eastAsia="en-GB"/>
        </w:rPr>
        <w:t>’</w:t>
      </w:r>
      <w:r w:rsidRPr="00D75925">
        <w:rPr>
          <w:szCs w:val="24"/>
          <w:lang w:eastAsia="en-GB"/>
        </w:rPr>
        <w:t>administration</w:t>
      </w:r>
      <w:r w:rsidR="005D4A19">
        <w:rPr>
          <w:szCs w:val="24"/>
          <w:lang w:eastAsia="en-GB"/>
        </w:rPr>
        <w:t> ;</w:t>
      </w:r>
      <w:r w:rsidRPr="00D75925">
        <w:rPr>
          <w:szCs w:val="24"/>
          <w:lang w:eastAsia="en-GB"/>
        </w:rPr>
        <w:t xml:space="preserve"> toutefois, cet acte peut aussi être attaqué séparément. »</w:t>
      </w:r>
    </w:p>
    <w:p w:rsidR="00191FF0" w:rsidRPr="00520ECC" w:rsidRDefault="00191FF0" w:rsidP="00191FF0">
      <w:pPr>
        <w:pStyle w:val="JuHIRoman"/>
        <w:outlineLvl w:val="0"/>
      </w:pPr>
      <w:r>
        <w:t>I</w:t>
      </w:r>
      <w:r w:rsidR="00DD10B3">
        <w:t>I</w:t>
      </w:r>
      <w:r>
        <w:t>I.  LES TEXTES INTERNATIONAUX</w:t>
      </w:r>
    </w:p>
    <w:p w:rsidR="0000732D" w:rsidRDefault="00191FF0" w:rsidP="00191FF0">
      <w:pPr>
        <w:pStyle w:val="JuHA"/>
      </w:pPr>
      <w:r>
        <w:t>A.  La Recomman</w:t>
      </w:r>
      <w:r w:rsidR="00091FD4">
        <w:t>dation CM/Rec(2009)4 du Comité</w:t>
      </w:r>
      <w:r>
        <w:t xml:space="preserve"> des Ministres aux Etats membres sur l</w:t>
      </w:r>
      <w:r w:rsidR="008615F7">
        <w:t>’</w:t>
      </w:r>
      <w:r>
        <w:t>éducation des Roms et des Gens du voyage en Europe</w:t>
      </w:r>
    </w:p>
    <w:p w:rsidR="00191FF0" w:rsidRDefault="00191FF0" w:rsidP="0000732D">
      <w:pPr>
        <w:pStyle w:val="JuPara"/>
      </w:pPr>
      <w:r>
        <w:fldChar w:fldCharType="begin"/>
      </w:r>
      <w:r>
        <w:instrText xml:space="preserve"> SEQ level0 \*arabic </w:instrText>
      </w:r>
      <w:r>
        <w:fldChar w:fldCharType="separate"/>
      </w:r>
      <w:r w:rsidR="00554499">
        <w:rPr>
          <w:noProof/>
        </w:rPr>
        <w:t>29</w:t>
      </w:r>
      <w:r>
        <w:fldChar w:fldCharType="end"/>
      </w:r>
      <w:r>
        <w:t xml:space="preserve">.  La Recommandation </w:t>
      </w:r>
      <w:r w:rsidR="00911EB2">
        <w:t>CM/Rec(2009)4 sur l</w:t>
      </w:r>
      <w:r w:rsidR="008615F7">
        <w:t>’</w:t>
      </w:r>
      <w:r w:rsidR="00911EB2">
        <w:t>éducation des Roms et des Gens du voyage en Europe</w:t>
      </w:r>
      <w:r w:rsidR="006563EA">
        <w:t>,</w:t>
      </w:r>
      <w:r>
        <w:t xml:space="preserve"> adoptée par le Comité des Ministres le </w:t>
      </w:r>
      <w:r w:rsidR="00911EB2">
        <w:t>17 </w:t>
      </w:r>
      <w:r>
        <w:t>juin 2009, à la 1061</w:t>
      </w:r>
      <w:r w:rsidRPr="00191FF0">
        <w:rPr>
          <w:vertAlign w:val="superscript"/>
        </w:rPr>
        <w:t>e</w:t>
      </w:r>
      <w:r>
        <w:t xml:space="preserve"> réunion des Délégués des Ministres</w:t>
      </w:r>
      <w:r w:rsidR="00F86368">
        <w:t>,</w:t>
      </w:r>
      <w:r>
        <w:t xml:space="preserve"> dispose notamment :</w:t>
      </w:r>
    </w:p>
    <w:p w:rsidR="00911EB2" w:rsidRDefault="00F035CF" w:rsidP="00F035CF">
      <w:pPr>
        <w:pStyle w:val="JuQuot"/>
      </w:pPr>
      <w:r>
        <w:t>«</w:t>
      </w:r>
      <w:r w:rsidR="00911EB2">
        <w:t> (</w:t>
      </w:r>
      <w:r w:rsidR="003759D8">
        <w:t>...</w:t>
      </w:r>
      <w:r w:rsidR="00911EB2">
        <w:t>)</w:t>
      </w:r>
    </w:p>
    <w:p w:rsidR="00E51BFB" w:rsidRDefault="00842DBA" w:rsidP="00F035CF">
      <w:pPr>
        <w:pStyle w:val="JuQuot"/>
      </w:pPr>
      <w:r>
        <w:t>1.</w:t>
      </w:r>
      <w:r w:rsidR="005D4A19">
        <w:t>  </w:t>
      </w:r>
      <w:r w:rsidR="00F035CF" w:rsidRPr="00CC5BBA">
        <w:t>Recommande que les gouvernements des Etats membres, dans le respect de leurs structures constitutionnelles, des situations nationales ou locales</w:t>
      </w:r>
      <w:r w:rsidR="00E51BFB">
        <w:t xml:space="preserve"> et de leur système éducatif :</w:t>
      </w:r>
    </w:p>
    <w:p w:rsidR="00E51BFB" w:rsidRDefault="00F035CF" w:rsidP="00F035CF">
      <w:pPr>
        <w:pStyle w:val="JuQuot"/>
      </w:pPr>
      <w:r w:rsidRPr="00CC5BBA">
        <w:rPr>
          <w:i/>
        </w:rPr>
        <w:t>a</w:t>
      </w:r>
      <w:r w:rsidR="00842DBA">
        <w:t>.</w:t>
      </w:r>
      <w:r w:rsidR="005D4A19">
        <w:t>  </w:t>
      </w:r>
      <w:r w:rsidRPr="00CC5BBA">
        <w:t>s</w:t>
      </w:r>
      <w:r w:rsidR="008615F7">
        <w:t>’</w:t>
      </w:r>
      <w:r w:rsidRPr="00CC5BBA">
        <w:t>inspirent des principes énoncés dans l</w:t>
      </w:r>
      <w:r w:rsidR="008615F7">
        <w:t>’</w:t>
      </w:r>
      <w:r w:rsidRPr="00CC5BBA">
        <w:t>annexe à la présente recommandation dans le cadre des réformes éd</w:t>
      </w:r>
      <w:r w:rsidR="00E51BFB">
        <w:t>ucatives en cours ou à venir ;</w:t>
      </w:r>
    </w:p>
    <w:p w:rsidR="00E51BFB" w:rsidRDefault="00F035CF" w:rsidP="00F035CF">
      <w:pPr>
        <w:pStyle w:val="JuQuot"/>
      </w:pPr>
      <w:r w:rsidRPr="00911EB2">
        <w:rPr>
          <w:i/>
        </w:rPr>
        <w:t>b</w:t>
      </w:r>
      <w:r w:rsidR="00842DBA">
        <w:t>.</w:t>
      </w:r>
      <w:r w:rsidR="005D4A19">
        <w:t>  </w:t>
      </w:r>
      <w:r w:rsidRPr="00CC5BBA">
        <w:t>élaborent, diffusent et mettent en œuvre des politiques éducatives visant à garantir un accès non discriminatoire à un enseignement de qualité pour les enfants Roms et de Gens du voyage, basé sur les orientations énoncées en annexe</w:t>
      </w:r>
      <w:r w:rsidR="00E51BFB">
        <w:t xml:space="preserve"> à la présente recommandation ;</w:t>
      </w:r>
    </w:p>
    <w:p w:rsidR="00E51BFB" w:rsidRDefault="00E51BFB" w:rsidP="00F035CF">
      <w:pPr>
        <w:pStyle w:val="JuQuot"/>
      </w:pPr>
      <w:r>
        <w:t>(</w:t>
      </w:r>
      <w:r w:rsidR="003759D8">
        <w:t>...</w:t>
      </w:r>
      <w:r>
        <w:t>)</w:t>
      </w:r>
    </w:p>
    <w:p w:rsidR="00E51BFB" w:rsidRDefault="00F035CF" w:rsidP="00F035CF">
      <w:pPr>
        <w:pStyle w:val="JuQuot"/>
      </w:pPr>
      <w:r w:rsidRPr="00CC5BBA">
        <w:rPr>
          <w:i/>
        </w:rPr>
        <w:t>d</w:t>
      </w:r>
      <w:r w:rsidR="00842DBA">
        <w:t>.</w:t>
      </w:r>
      <w:r w:rsidR="005D4A19">
        <w:t>  </w:t>
      </w:r>
      <w:r w:rsidRPr="00CC5BBA">
        <w:t>s</w:t>
      </w:r>
      <w:r w:rsidR="008615F7">
        <w:t>’</w:t>
      </w:r>
      <w:r w:rsidRPr="00CC5BBA">
        <w:t>assurent, y compris auprès des autorités locales ou régionales, d</w:t>
      </w:r>
      <w:r w:rsidR="008615F7">
        <w:t>’</w:t>
      </w:r>
      <w:r w:rsidRPr="00CC5BBA">
        <w:t>un accueil effectif des enfants Roms et de Gens du voyage en milieu scolaire ;</w:t>
      </w:r>
    </w:p>
    <w:p w:rsidR="00F035CF" w:rsidRDefault="00F035CF" w:rsidP="00F035CF">
      <w:pPr>
        <w:pStyle w:val="JuQuot"/>
      </w:pPr>
      <w:r>
        <w:t>(</w:t>
      </w:r>
      <w:r w:rsidR="003759D8">
        <w:t>...</w:t>
      </w:r>
      <w:r>
        <w:t>)</w:t>
      </w:r>
    </w:p>
    <w:p w:rsidR="00F035CF" w:rsidRPr="00F035CF" w:rsidRDefault="00F035CF" w:rsidP="00F035CF">
      <w:pPr>
        <w:pStyle w:val="JuQuot"/>
        <w:rPr>
          <w:i/>
        </w:rPr>
      </w:pPr>
      <w:r w:rsidRPr="00F035CF">
        <w:rPr>
          <w:i/>
        </w:rPr>
        <w:t>Annexe à la Recommandation CM/Rec(2009)4</w:t>
      </w:r>
    </w:p>
    <w:p w:rsidR="00F035CF" w:rsidRPr="00CC5BBA" w:rsidRDefault="00F035CF" w:rsidP="00F035CF">
      <w:pPr>
        <w:pStyle w:val="JuQuot"/>
        <w:rPr>
          <w:b/>
        </w:rPr>
      </w:pPr>
      <w:r w:rsidRPr="00CC5BBA">
        <w:rPr>
          <w:b/>
        </w:rPr>
        <w:t>I.</w:t>
      </w:r>
      <w:r w:rsidR="005D4A19">
        <w:rPr>
          <w:b/>
        </w:rPr>
        <w:t>  </w:t>
      </w:r>
      <w:r w:rsidRPr="00CC5BBA">
        <w:rPr>
          <w:b/>
        </w:rPr>
        <w:t>Principes relatifs à la politique à mener</w:t>
      </w:r>
    </w:p>
    <w:p w:rsidR="007A089E" w:rsidRDefault="00842DBA" w:rsidP="00842DBA">
      <w:pPr>
        <w:pStyle w:val="JuQuot"/>
      </w:pPr>
      <w:r>
        <w:t>1.</w:t>
      </w:r>
      <w:r w:rsidR="005D4A19">
        <w:t>  </w:t>
      </w:r>
      <w:r w:rsidR="00F035CF" w:rsidRPr="00CC5BBA">
        <w:t>Des politiques éducatives visant à assurer un accès non discriminatoire à un enseignement de qualité pour les enfants Roms et de Gens du voyage devraient être élaborées au niveau national</w:t>
      </w:r>
      <w:r w:rsidR="00F035CF">
        <w:t xml:space="preserve">. </w:t>
      </w:r>
      <w:r w:rsidR="00F035CF" w:rsidRPr="00CC5BBA">
        <w:t>Ces politiques devraient être formulées de manière à garantir l</w:t>
      </w:r>
      <w:r w:rsidR="008615F7">
        <w:t>’</w:t>
      </w:r>
      <w:r w:rsidR="00F035CF" w:rsidRPr="00CC5BBA">
        <w:t>accès à une éducation de qualité dans la dignité et le respect, fondée sur les principes des droits de l</w:t>
      </w:r>
      <w:r w:rsidR="008615F7">
        <w:t>’</w:t>
      </w:r>
      <w:r w:rsidR="00F035CF" w:rsidRPr="00CC5BBA">
        <w:t>homme et sur les droits de l</w:t>
      </w:r>
      <w:r w:rsidR="008615F7">
        <w:t>’</w:t>
      </w:r>
      <w:r w:rsidR="00F035CF" w:rsidRPr="00CC5BBA">
        <w:t xml:space="preserve">enfant. </w:t>
      </w:r>
      <w:r w:rsidR="007A089E">
        <w:t>(</w:t>
      </w:r>
      <w:r w:rsidR="003759D8">
        <w:t>...</w:t>
      </w:r>
      <w:r w:rsidR="007A089E">
        <w:t>)</w:t>
      </w:r>
    </w:p>
    <w:p w:rsidR="00F035CF" w:rsidRPr="00CC5BBA" w:rsidRDefault="00A56E0A" w:rsidP="00842DBA">
      <w:pPr>
        <w:pStyle w:val="JuQuot"/>
      </w:pPr>
      <w:r>
        <w:t>(</w:t>
      </w:r>
      <w:r w:rsidR="003759D8">
        <w:t>...</w:t>
      </w:r>
      <w:r>
        <w:t>)</w:t>
      </w:r>
    </w:p>
    <w:p w:rsidR="000F6FD5" w:rsidRDefault="00842DBA" w:rsidP="00842DBA">
      <w:pPr>
        <w:pStyle w:val="JuQuot"/>
      </w:pPr>
      <w:r>
        <w:t>5.</w:t>
      </w:r>
      <w:r w:rsidR="005D4A19">
        <w:t>  </w:t>
      </w:r>
      <w:r w:rsidR="00F035CF" w:rsidRPr="00CC5BBA">
        <w:t>Les Etats membres devraient veiller à ce que les mesures juridiques interdisant la ségrégation sur une base ethnique ou raciale dans le domaine de l</w:t>
      </w:r>
      <w:r w:rsidR="008615F7">
        <w:t>’</w:t>
      </w:r>
      <w:r w:rsidR="00F035CF" w:rsidRPr="00CC5BBA">
        <w:t>éducation soient mises en place avec des sanctions efficaces, proportionnées et dissuasives, et assurer la mise en œuvre effective de la législation. Lorsque, de facto, une ségrégation des enfants Roms et de Gens du voyage basée sur leur origine raciale ou ethnique existe, les autorités devraient mettre en œuvre des mesures d</w:t>
      </w:r>
      <w:r w:rsidR="008615F7">
        <w:t>’</w:t>
      </w:r>
      <w:r w:rsidR="00F035CF" w:rsidRPr="00CC5BBA">
        <w:t>abolition de la ségrégation. Les politiques et les mesures prises pour combattre la ségrégation devraient s</w:t>
      </w:r>
      <w:r w:rsidR="008615F7">
        <w:t>’</w:t>
      </w:r>
      <w:r w:rsidR="00F035CF" w:rsidRPr="00CC5BBA">
        <w:t>accompagner d</w:t>
      </w:r>
      <w:r w:rsidR="008615F7">
        <w:t>’</w:t>
      </w:r>
      <w:r w:rsidR="00F035CF" w:rsidRPr="00CC5BBA">
        <w:t>une formation appropriée du personnel éducatif et d</w:t>
      </w:r>
      <w:r w:rsidR="008615F7">
        <w:t>’</w:t>
      </w:r>
      <w:r w:rsidR="00F035CF" w:rsidRPr="00CC5BBA">
        <w:t>une information pour les parents.</w:t>
      </w:r>
    </w:p>
    <w:p w:rsidR="00F035CF" w:rsidRPr="00CC5BBA" w:rsidRDefault="00842DBA" w:rsidP="00842DBA">
      <w:pPr>
        <w:pStyle w:val="JuQuot"/>
      </w:pPr>
      <w:r>
        <w:t>6.</w:t>
      </w:r>
      <w:r w:rsidR="005D4A19">
        <w:t>  </w:t>
      </w:r>
      <w:r w:rsidR="00F035CF" w:rsidRPr="00CC5BBA">
        <w:t>Les autorités éducatives devraient mettre en place des procédures d</w:t>
      </w:r>
      <w:r w:rsidR="008615F7">
        <w:t>’</w:t>
      </w:r>
      <w:r w:rsidR="00F035CF" w:rsidRPr="00CC5BBA">
        <w:t>évaluation afin d</w:t>
      </w:r>
      <w:r w:rsidR="008615F7">
        <w:t>’</w:t>
      </w:r>
      <w:r w:rsidR="00F035CF" w:rsidRPr="00CC5BBA">
        <w:t>éviter tout risque de placement des enfants dans des institutions spéciales sur la base de différences linguistiques, ethniques, culturelles ou sociales, et de faciliter l</w:t>
      </w:r>
      <w:r w:rsidR="008615F7">
        <w:t>’</w:t>
      </w:r>
      <w:r w:rsidR="00F035CF" w:rsidRPr="00CC5BBA">
        <w:t>accès à la scolarisation. Les représentants des Roms et des Gens du voyage devraient être impliqués dans la définition et le suivi de ces procédures.</w:t>
      </w:r>
    </w:p>
    <w:p w:rsidR="00F035CF" w:rsidRPr="00F035CF" w:rsidRDefault="00F035CF" w:rsidP="00842DBA">
      <w:pPr>
        <w:pStyle w:val="JuQuot"/>
      </w:pPr>
      <w:r w:rsidRPr="00F035CF">
        <w:t>(</w:t>
      </w:r>
      <w:r w:rsidR="003759D8">
        <w:t>...</w:t>
      </w:r>
      <w:r w:rsidR="00A56E0A">
        <w:t>)</w:t>
      </w:r>
    </w:p>
    <w:p w:rsidR="007A089E" w:rsidRDefault="00985135" w:rsidP="00E51BFB">
      <w:pPr>
        <w:pStyle w:val="JuQuot"/>
        <w:rPr>
          <w:b/>
        </w:rPr>
      </w:pPr>
      <w:r>
        <w:rPr>
          <w:b/>
        </w:rPr>
        <w:t>II.</w:t>
      </w:r>
      <w:r w:rsidR="005D4A19">
        <w:rPr>
          <w:b/>
        </w:rPr>
        <w:t>  </w:t>
      </w:r>
      <w:r w:rsidR="00E51BFB" w:rsidRPr="00CC5BBA">
        <w:rPr>
          <w:b/>
        </w:rPr>
        <w:t>Structures et dis</w:t>
      </w:r>
      <w:r w:rsidR="007A089E">
        <w:rPr>
          <w:b/>
        </w:rPr>
        <w:t>positions d</w:t>
      </w:r>
      <w:r w:rsidR="008615F7">
        <w:rPr>
          <w:b/>
        </w:rPr>
        <w:t>’</w:t>
      </w:r>
      <w:r w:rsidR="007A089E">
        <w:rPr>
          <w:b/>
        </w:rPr>
        <w:t>accès à l</w:t>
      </w:r>
      <w:r w:rsidR="008615F7">
        <w:rPr>
          <w:b/>
        </w:rPr>
        <w:t>’</w:t>
      </w:r>
      <w:r w:rsidR="007A089E">
        <w:rPr>
          <w:b/>
        </w:rPr>
        <w:t>éducation</w:t>
      </w:r>
    </w:p>
    <w:p w:rsidR="007A089E" w:rsidRPr="00911EB2" w:rsidRDefault="007A089E" w:rsidP="00E51BFB">
      <w:pPr>
        <w:pStyle w:val="JuQuot"/>
      </w:pPr>
      <w:r w:rsidRPr="00911EB2">
        <w:t>(</w:t>
      </w:r>
      <w:r w:rsidR="003759D8">
        <w:t>...</w:t>
      </w:r>
      <w:r w:rsidRPr="00911EB2">
        <w:t>)</w:t>
      </w:r>
    </w:p>
    <w:p w:rsidR="00E51BFB" w:rsidRDefault="00E51BFB" w:rsidP="00E51BFB">
      <w:pPr>
        <w:pStyle w:val="JuQuot"/>
      </w:pPr>
      <w:r>
        <w:t>9.</w:t>
      </w:r>
      <w:r w:rsidR="005D4A19">
        <w:t>  </w:t>
      </w:r>
      <w:r w:rsidRPr="00CC5BBA">
        <w:t>Les Roms et les Gens du voyage devraient bénéficier d</w:t>
      </w:r>
      <w:r w:rsidR="008615F7">
        <w:t>’</w:t>
      </w:r>
      <w:r w:rsidRPr="00CC5BBA">
        <w:t>un accès sans entraves à la scolarisation en milieu ordinaire à tous les niveaux suivant les mêmes critères que pour la population majoritaire. Pour atteindre cet objectif, des initiatives inventives et flexibles devraient être prises en termes de politiques et pratiques éducatives. Des mesures appropriées devraient également être adoptées pour assurer l</w:t>
      </w:r>
      <w:r w:rsidR="008615F7">
        <w:t>’</w:t>
      </w:r>
      <w:r w:rsidRPr="00CC5BBA">
        <w:t>égalité d</w:t>
      </w:r>
      <w:r w:rsidR="008615F7">
        <w:t>’</w:t>
      </w:r>
      <w:r w:rsidRPr="00CC5BBA">
        <w:t xml:space="preserve">accès à toutes les possibilités éducatives, culturelles, linguistiques et professionnelles offertes à tous les apprenants, et notamment les jeunes filles et femmes de la communauté </w:t>
      </w:r>
      <w:r>
        <w:t>des Roms et des Gens du voyage.</w:t>
      </w:r>
    </w:p>
    <w:p w:rsidR="00E51BFB" w:rsidRDefault="00A56E0A" w:rsidP="00E51BFB">
      <w:pPr>
        <w:pStyle w:val="JuQuot"/>
      </w:pPr>
      <w:r>
        <w:t>(</w:t>
      </w:r>
      <w:r w:rsidR="003759D8">
        <w:t>...</w:t>
      </w:r>
      <w:r>
        <w:t>)</w:t>
      </w:r>
    </w:p>
    <w:p w:rsidR="00191FF0" w:rsidRDefault="00E51BFB" w:rsidP="00E51BFB">
      <w:pPr>
        <w:pStyle w:val="JuQuot"/>
      </w:pPr>
      <w:r>
        <w:t>11.</w:t>
      </w:r>
      <w:r w:rsidR="005D4A19">
        <w:t>  </w:t>
      </w:r>
      <w:r w:rsidRPr="00CC5BBA">
        <w:t>L</w:t>
      </w:r>
      <w:r w:rsidR="008615F7">
        <w:t>’</w:t>
      </w:r>
      <w:r w:rsidRPr="00CC5BBA">
        <w:t>accès des enfants Roms et de Gens du voyage à l</w:t>
      </w:r>
      <w:r w:rsidR="008615F7">
        <w:t>’</w:t>
      </w:r>
      <w:r w:rsidRPr="00CC5BBA">
        <w:t>enseignement obligatoire devrait être facilité et soumis aux mêmes critères applicables à la population majoritaire, en mettant un accent particulier sur la transition de l</w:t>
      </w:r>
      <w:r w:rsidR="008615F7">
        <w:t>’</w:t>
      </w:r>
      <w:r w:rsidRPr="00CC5BBA">
        <w:t>éducation préscolaire à l</w:t>
      </w:r>
      <w:r w:rsidR="008615F7">
        <w:t>’</w:t>
      </w:r>
      <w:r w:rsidRPr="00CC5BBA">
        <w:t>éducation primaire, et de l</w:t>
      </w:r>
      <w:r w:rsidR="008615F7">
        <w:t>’</w:t>
      </w:r>
      <w:r w:rsidRPr="00CC5BBA">
        <w:t>éducation primaire à l</w:t>
      </w:r>
      <w:r w:rsidR="008615F7">
        <w:t>’</w:t>
      </w:r>
      <w:r w:rsidRPr="00CC5BBA">
        <w:t>éducation secondaire. Des dispositions particulières devraient être prises pour prévenir l</w:t>
      </w:r>
      <w:r w:rsidR="008615F7">
        <w:t>’</w:t>
      </w:r>
      <w:r w:rsidRPr="00CC5BBA">
        <w:t>abandon scolaire et stimuler le retour à l</w:t>
      </w:r>
      <w:r w:rsidR="008615F7">
        <w:t>’</w:t>
      </w:r>
      <w:r w:rsidRPr="00CC5BBA">
        <w:t>école des enfants n</w:t>
      </w:r>
      <w:r w:rsidR="008615F7">
        <w:t>’</w:t>
      </w:r>
      <w:r w:rsidRPr="00CC5BBA">
        <w:t>ayant pas mené à te</w:t>
      </w:r>
      <w:r w:rsidR="00A56E0A">
        <w:t>rme l</w:t>
      </w:r>
      <w:r w:rsidR="008615F7">
        <w:t>’</w:t>
      </w:r>
      <w:r w:rsidR="00A56E0A">
        <w:t>enseignement obligatoire.</w:t>
      </w:r>
      <w:r w:rsidR="00911EB2">
        <w:t xml:space="preserve"> (</w:t>
      </w:r>
      <w:r w:rsidR="003759D8">
        <w:t>...</w:t>
      </w:r>
      <w:r w:rsidR="00911EB2">
        <w:t>)</w:t>
      </w:r>
      <w:r w:rsidR="00A56E0A">
        <w:t> »</w:t>
      </w:r>
    </w:p>
    <w:p w:rsidR="00263623" w:rsidRDefault="00263623" w:rsidP="00263623">
      <w:pPr>
        <w:pStyle w:val="JuHA"/>
      </w:pPr>
      <w:r>
        <w:t>B.  La Commission européenne contre le racisme et l</w:t>
      </w:r>
      <w:r w:rsidR="008615F7">
        <w:t>’</w:t>
      </w:r>
      <w:r>
        <w:t>intolérance</w:t>
      </w:r>
    </w:p>
    <w:p w:rsidR="00263623" w:rsidRDefault="00263623" w:rsidP="00263623">
      <w:pPr>
        <w:pStyle w:val="JuPara"/>
      </w:pPr>
      <w:r>
        <w:fldChar w:fldCharType="begin"/>
      </w:r>
      <w:r>
        <w:instrText xml:space="preserve"> SEQ level0 \*arabic </w:instrText>
      </w:r>
      <w:r>
        <w:fldChar w:fldCharType="separate"/>
      </w:r>
      <w:r w:rsidR="00554499">
        <w:rPr>
          <w:noProof/>
        </w:rPr>
        <w:t>30</w:t>
      </w:r>
      <w:r>
        <w:fldChar w:fldCharType="end"/>
      </w:r>
      <w:r>
        <w:t>.  Le rapport de la Commission européenne contre le racisme et l</w:t>
      </w:r>
      <w:r w:rsidR="008615F7">
        <w:t>’</w:t>
      </w:r>
      <w:r>
        <w:t>intolérance (ECRI) sur la Grèce, adopté le 2 avril 2009 et publié le 15 septembre 2009, précis</w:t>
      </w:r>
      <w:r w:rsidR="00E717EC">
        <w:t>e</w:t>
      </w:r>
      <w:r>
        <w:t xml:space="preserve"> ce qui suit :</w:t>
      </w:r>
    </w:p>
    <w:p w:rsidR="00263623" w:rsidRDefault="009E6003" w:rsidP="00263623">
      <w:pPr>
        <w:pStyle w:val="JuQuot"/>
        <w:rPr>
          <w:lang w:eastAsia="en-GB"/>
        </w:rPr>
      </w:pPr>
      <w:r>
        <w:rPr>
          <w:lang w:eastAsia="en-GB"/>
        </w:rPr>
        <w:t>« </w:t>
      </w:r>
      <w:r w:rsidR="00263623" w:rsidRPr="00B04D0D">
        <w:rPr>
          <w:lang w:eastAsia="en-GB"/>
        </w:rPr>
        <w:t>53.</w:t>
      </w:r>
      <w:r w:rsidR="00263623">
        <w:rPr>
          <w:lang w:eastAsia="en-GB"/>
        </w:rPr>
        <w:t>  </w:t>
      </w:r>
      <w:r w:rsidR="00263623" w:rsidRPr="00B04D0D">
        <w:rPr>
          <w:lang w:eastAsia="en-GB"/>
        </w:rPr>
        <w:t>L</w:t>
      </w:r>
      <w:r w:rsidR="008615F7">
        <w:rPr>
          <w:lang w:eastAsia="en-GB"/>
        </w:rPr>
        <w:t>’</w:t>
      </w:r>
      <w:r w:rsidR="00263623" w:rsidRPr="00B04D0D">
        <w:rPr>
          <w:lang w:eastAsia="en-GB"/>
        </w:rPr>
        <w:t>ECRI note avec préoccupation que les Roms</w:t>
      </w:r>
      <w:r w:rsidR="00263623">
        <w:rPr>
          <w:i/>
          <w:iCs/>
          <w:sz w:val="12"/>
          <w:szCs w:val="12"/>
          <w:lang w:eastAsia="en-GB"/>
        </w:rPr>
        <w:t xml:space="preserve"> </w:t>
      </w:r>
      <w:r w:rsidR="00263623" w:rsidRPr="00B04D0D">
        <w:rPr>
          <w:lang w:eastAsia="en-GB"/>
        </w:rPr>
        <w:t>continuent d</w:t>
      </w:r>
      <w:r w:rsidR="008615F7">
        <w:rPr>
          <w:lang w:eastAsia="en-GB"/>
        </w:rPr>
        <w:t>’</w:t>
      </w:r>
      <w:r w:rsidR="00263623" w:rsidRPr="00B04D0D">
        <w:rPr>
          <w:lang w:eastAsia="en-GB"/>
        </w:rPr>
        <w:t>être défavorisés en</w:t>
      </w:r>
      <w:r w:rsidR="00263623">
        <w:rPr>
          <w:lang w:eastAsia="en-GB"/>
        </w:rPr>
        <w:t xml:space="preserve"> </w:t>
      </w:r>
      <w:r w:rsidR="00263623" w:rsidRPr="00B04D0D">
        <w:rPr>
          <w:lang w:eastAsia="en-GB"/>
        </w:rPr>
        <w:t>matière d</w:t>
      </w:r>
      <w:r w:rsidR="008615F7">
        <w:rPr>
          <w:lang w:eastAsia="en-GB"/>
        </w:rPr>
        <w:t>’</w:t>
      </w:r>
      <w:r w:rsidR="00263623" w:rsidRPr="00B04D0D">
        <w:rPr>
          <w:lang w:eastAsia="en-GB"/>
        </w:rPr>
        <w:t>éducation. Certaines écoles refusent toujours d</w:t>
      </w:r>
      <w:r w:rsidR="008615F7">
        <w:rPr>
          <w:lang w:eastAsia="en-GB"/>
        </w:rPr>
        <w:t>’</w:t>
      </w:r>
      <w:r w:rsidR="00263623" w:rsidRPr="00B04D0D">
        <w:rPr>
          <w:lang w:eastAsia="en-GB"/>
        </w:rPr>
        <w:t>inscrire des enfants roms, ce</w:t>
      </w:r>
      <w:r w:rsidR="00263623">
        <w:rPr>
          <w:lang w:eastAsia="en-GB"/>
        </w:rPr>
        <w:t xml:space="preserve"> </w:t>
      </w:r>
      <w:r w:rsidR="00263623" w:rsidRPr="00B04D0D">
        <w:rPr>
          <w:lang w:eastAsia="en-GB"/>
        </w:rPr>
        <w:t>qui peut parfois s</w:t>
      </w:r>
      <w:r w:rsidR="008615F7">
        <w:rPr>
          <w:lang w:eastAsia="en-GB"/>
        </w:rPr>
        <w:t>’</w:t>
      </w:r>
      <w:r w:rsidR="00263623" w:rsidRPr="00B04D0D">
        <w:rPr>
          <w:lang w:eastAsia="en-GB"/>
        </w:rPr>
        <w:t>expliquer par la pression exercée par les parents d</w:t>
      </w:r>
      <w:r w:rsidR="008615F7">
        <w:rPr>
          <w:lang w:eastAsia="en-GB"/>
        </w:rPr>
        <w:t>’</w:t>
      </w:r>
      <w:r w:rsidR="00263623" w:rsidRPr="00B04D0D">
        <w:rPr>
          <w:lang w:eastAsia="en-GB"/>
        </w:rPr>
        <w:t>élèves non roms.</w:t>
      </w:r>
      <w:r w:rsidR="00263623">
        <w:rPr>
          <w:lang w:eastAsia="en-GB"/>
        </w:rPr>
        <w:t xml:space="preserve"> </w:t>
      </w:r>
      <w:r w:rsidR="00263623" w:rsidRPr="00B04D0D">
        <w:rPr>
          <w:lang w:eastAsia="en-GB"/>
        </w:rPr>
        <w:t>L</w:t>
      </w:r>
      <w:r w:rsidR="008615F7">
        <w:rPr>
          <w:lang w:eastAsia="en-GB"/>
        </w:rPr>
        <w:t>’</w:t>
      </w:r>
      <w:r w:rsidR="00263623" w:rsidRPr="00B04D0D">
        <w:rPr>
          <w:lang w:eastAsia="en-GB"/>
        </w:rPr>
        <w:t>ECRI est profondément préoccupée par le fait que dans certains cas, les enfants</w:t>
      </w:r>
      <w:r w:rsidR="00263623">
        <w:rPr>
          <w:lang w:eastAsia="en-GB"/>
        </w:rPr>
        <w:t xml:space="preserve"> </w:t>
      </w:r>
      <w:r w:rsidR="00263623" w:rsidRPr="00B04D0D">
        <w:rPr>
          <w:lang w:eastAsia="en-GB"/>
        </w:rPr>
        <w:t>roms sont séparés des autres enfants, au sein de l</w:t>
      </w:r>
      <w:r w:rsidR="008615F7">
        <w:rPr>
          <w:lang w:eastAsia="en-GB"/>
        </w:rPr>
        <w:t>’</w:t>
      </w:r>
      <w:r w:rsidR="00263623" w:rsidRPr="00B04D0D">
        <w:rPr>
          <w:lang w:eastAsia="en-GB"/>
        </w:rPr>
        <w:t>établissement même ou à</w:t>
      </w:r>
      <w:r w:rsidR="00263623">
        <w:rPr>
          <w:lang w:eastAsia="en-GB"/>
        </w:rPr>
        <w:t xml:space="preserve"> proximité. Dans un cas,</w:t>
      </w:r>
      <w:r w:rsidR="00263623" w:rsidRPr="00B04D0D">
        <w:rPr>
          <w:lang w:eastAsia="en-GB"/>
        </w:rPr>
        <w:t xml:space="preserve"> la Cour européenne des droits de l</w:t>
      </w:r>
      <w:r w:rsidR="008615F7">
        <w:rPr>
          <w:lang w:eastAsia="en-GB"/>
        </w:rPr>
        <w:t>’</w:t>
      </w:r>
      <w:r w:rsidR="00263623">
        <w:rPr>
          <w:lang w:eastAsia="en-GB"/>
        </w:rPr>
        <w:t>h</w:t>
      </w:r>
      <w:r w:rsidR="00263623" w:rsidRPr="00B04D0D">
        <w:rPr>
          <w:lang w:eastAsia="en-GB"/>
        </w:rPr>
        <w:t>omme a estimé que la</w:t>
      </w:r>
      <w:r w:rsidR="00263623">
        <w:rPr>
          <w:lang w:eastAsia="en-GB"/>
        </w:rPr>
        <w:t xml:space="preserve"> </w:t>
      </w:r>
      <w:r w:rsidR="00263623" w:rsidRPr="00B04D0D">
        <w:rPr>
          <w:lang w:eastAsia="en-GB"/>
        </w:rPr>
        <w:t>Grèce avait violé l</w:t>
      </w:r>
      <w:r w:rsidR="008615F7">
        <w:rPr>
          <w:lang w:eastAsia="en-GB"/>
        </w:rPr>
        <w:t>’</w:t>
      </w:r>
      <w:r w:rsidR="00263623" w:rsidRPr="00B04D0D">
        <w:rPr>
          <w:lang w:eastAsia="en-GB"/>
        </w:rPr>
        <w:t>article 14 de la Convention européenne des droits de l</w:t>
      </w:r>
      <w:r w:rsidR="008615F7">
        <w:rPr>
          <w:lang w:eastAsia="en-GB"/>
        </w:rPr>
        <w:t>’</w:t>
      </w:r>
      <w:r w:rsidR="00263623">
        <w:rPr>
          <w:lang w:eastAsia="en-GB"/>
        </w:rPr>
        <w:t>h</w:t>
      </w:r>
      <w:r w:rsidR="00263623" w:rsidRPr="00B04D0D">
        <w:rPr>
          <w:lang w:eastAsia="en-GB"/>
        </w:rPr>
        <w:t>omme</w:t>
      </w:r>
      <w:r w:rsidR="00263623">
        <w:rPr>
          <w:lang w:eastAsia="en-GB"/>
        </w:rPr>
        <w:t xml:space="preserve"> </w:t>
      </w:r>
      <w:r w:rsidR="00263623" w:rsidRPr="00B04D0D">
        <w:rPr>
          <w:lang w:eastAsia="en-GB"/>
        </w:rPr>
        <w:t>(interdiction de la discrimination dans la jouissance des droits énoncés dans la</w:t>
      </w:r>
      <w:r w:rsidR="00263623">
        <w:rPr>
          <w:lang w:eastAsia="en-GB"/>
        </w:rPr>
        <w:t xml:space="preserve"> </w:t>
      </w:r>
      <w:r w:rsidR="00263623" w:rsidRPr="00B04D0D">
        <w:rPr>
          <w:lang w:eastAsia="en-GB"/>
        </w:rPr>
        <w:t>Convention) pris ensemble avec l</w:t>
      </w:r>
      <w:r w:rsidR="008615F7">
        <w:rPr>
          <w:lang w:eastAsia="en-GB"/>
        </w:rPr>
        <w:t>’</w:t>
      </w:r>
      <w:r w:rsidR="00263623" w:rsidRPr="00B04D0D">
        <w:rPr>
          <w:lang w:eastAsia="en-GB"/>
        </w:rPr>
        <w:t>article 2 du Protocole n</w:t>
      </w:r>
      <w:r w:rsidR="003759D8" w:rsidRPr="003759D8">
        <w:rPr>
          <w:vertAlign w:val="superscript"/>
          <w:lang w:eastAsia="en-GB"/>
        </w:rPr>
        <w:t>o</w:t>
      </w:r>
      <w:r w:rsidR="00263623" w:rsidRPr="00B04D0D">
        <w:rPr>
          <w:lang w:eastAsia="en-GB"/>
        </w:rPr>
        <w:t xml:space="preserve"> 1 à la Convention</w:t>
      </w:r>
      <w:r w:rsidR="00263623">
        <w:rPr>
          <w:lang w:eastAsia="en-GB"/>
        </w:rPr>
        <w:t xml:space="preserve"> </w:t>
      </w:r>
      <w:r w:rsidR="00263623" w:rsidRPr="00B04D0D">
        <w:rPr>
          <w:lang w:eastAsia="en-GB"/>
        </w:rPr>
        <w:t>européenne des droits de l</w:t>
      </w:r>
      <w:r w:rsidR="008615F7">
        <w:rPr>
          <w:lang w:eastAsia="en-GB"/>
        </w:rPr>
        <w:t>’</w:t>
      </w:r>
      <w:r w:rsidR="00263623">
        <w:rPr>
          <w:lang w:eastAsia="en-GB"/>
        </w:rPr>
        <w:t>h</w:t>
      </w:r>
      <w:r w:rsidR="00263623" w:rsidRPr="00B04D0D">
        <w:rPr>
          <w:lang w:eastAsia="en-GB"/>
        </w:rPr>
        <w:t>omme (droit à l</w:t>
      </w:r>
      <w:r w:rsidR="008615F7">
        <w:rPr>
          <w:lang w:eastAsia="en-GB"/>
        </w:rPr>
        <w:t>’</w:t>
      </w:r>
      <w:r w:rsidR="00263623" w:rsidRPr="00B04D0D">
        <w:rPr>
          <w:lang w:eastAsia="en-GB"/>
        </w:rPr>
        <w:t>éducation). L</w:t>
      </w:r>
      <w:r w:rsidR="008615F7">
        <w:rPr>
          <w:lang w:eastAsia="en-GB"/>
        </w:rPr>
        <w:t>’</w:t>
      </w:r>
      <w:r w:rsidR="00263623" w:rsidRPr="00B04D0D">
        <w:rPr>
          <w:lang w:eastAsia="en-GB"/>
        </w:rPr>
        <w:t>ECRI a appris qu</w:t>
      </w:r>
      <w:r w:rsidR="008615F7">
        <w:rPr>
          <w:lang w:eastAsia="en-GB"/>
        </w:rPr>
        <w:t>’</w:t>
      </w:r>
      <w:r w:rsidR="00263623" w:rsidRPr="00B04D0D">
        <w:rPr>
          <w:lang w:eastAsia="en-GB"/>
        </w:rPr>
        <w:t>à Spata, où</w:t>
      </w:r>
      <w:r w:rsidR="00263623">
        <w:rPr>
          <w:lang w:eastAsia="en-GB"/>
        </w:rPr>
        <w:t xml:space="preserve"> </w:t>
      </w:r>
      <w:r w:rsidR="00263623" w:rsidRPr="00B04D0D">
        <w:rPr>
          <w:lang w:eastAsia="en-GB"/>
        </w:rPr>
        <w:t>des enfants roms s</w:t>
      </w:r>
      <w:r w:rsidR="008615F7">
        <w:rPr>
          <w:lang w:eastAsia="en-GB"/>
        </w:rPr>
        <w:t>’</w:t>
      </w:r>
      <w:r w:rsidR="00263623" w:rsidRPr="00B04D0D">
        <w:rPr>
          <w:lang w:eastAsia="en-GB"/>
        </w:rPr>
        <w:t>étaient tout d</w:t>
      </w:r>
      <w:r w:rsidR="008615F7">
        <w:rPr>
          <w:lang w:eastAsia="en-GB"/>
        </w:rPr>
        <w:t>’</w:t>
      </w:r>
      <w:r w:rsidR="00263623" w:rsidRPr="00B04D0D">
        <w:rPr>
          <w:lang w:eastAsia="en-GB"/>
        </w:rPr>
        <w:t>abord vu refuser l</w:t>
      </w:r>
      <w:r w:rsidR="008615F7">
        <w:rPr>
          <w:lang w:eastAsia="en-GB"/>
        </w:rPr>
        <w:t>’</w:t>
      </w:r>
      <w:r w:rsidR="00263623" w:rsidRPr="00B04D0D">
        <w:rPr>
          <w:lang w:eastAsia="en-GB"/>
        </w:rPr>
        <w:t>inscription à l</w:t>
      </w:r>
      <w:r w:rsidR="008615F7">
        <w:rPr>
          <w:lang w:eastAsia="en-GB"/>
        </w:rPr>
        <w:t>’</w:t>
      </w:r>
      <w:r w:rsidR="00263623" w:rsidRPr="00B04D0D">
        <w:rPr>
          <w:lang w:eastAsia="en-GB"/>
        </w:rPr>
        <w:t>école, une classe</w:t>
      </w:r>
      <w:r w:rsidR="00263623">
        <w:rPr>
          <w:lang w:eastAsia="en-GB"/>
        </w:rPr>
        <w:t xml:space="preserve"> </w:t>
      </w:r>
      <w:r w:rsidR="00263623" w:rsidRPr="00B04D0D">
        <w:rPr>
          <w:lang w:eastAsia="en-GB"/>
        </w:rPr>
        <w:t>séparée a été créée pour les accueillir afin de le</w:t>
      </w:r>
      <w:r w:rsidR="00263623">
        <w:rPr>
          <w:lang w:eastAsia="en-GB"/>
        </w:rPr>
        <w:t>ur</w:t>
      </w:r>
      <w:r w:rsidR="00263623" w:rsidRPr="00B04D0D">
        <w:rPr>
          <w:lang w:eastAsia="en-GB"/>
        </w:rPr>
        <w:t xml:space="preserve"> permettre de s</w:t>
      </w:r>
      <w:r w:rsidR="008615F7">
        <w:rPr>
          <w:lang w:eastAsia="en-GB"/>
        </w:rPr>
        <w:t>’</w:t>
      </w:r>
      <w:r w:rsidR="00263623" w:rsidRPr="00B04D0D">
        <w:rPr>
          <w:lang w:eastAsia="en-GB"/>
        </w:rPr>
        <w:t>adapter</w:t>
      </w:r>
      <w:r w:rsidR="00263623">
        <w:rPr>
          <w:lang w:eastAsia="en-GB"/>
        </w:rPr>
        <w:t xml:space="preserve"> </w:t>
      </w:r>
      <w:r w:rsidR="00263623" w:rsidRPr="00B04D0D">
        <w:rPr>
          <w:lang w:eastAsia="en-GB"/>
        </w:rPr>
        <w:t>progressivement à l</w:t>
      </w:r>
      <w:r w:rsidR="008615F7">
        <w:rPr>
          <w:lang w:eastAsia="en-GB"/>
        </w:rPr>
        <w:t>’</w:t>
      </w:r>
      <w:r w:rsidR="00263623" w:rsidRPr="00B04D0D">
        <w:rPr>
          <w:lang w:eastAsia="en-GB"/>
        </w:rPr>
        <w:t>environnement scolaire. Tout en étant consciente de la nécessité</w:t>
      </w:r>
      <w:r w:rsidR="00263623">
        <w:rPr>
          <w:lang w:eastAsia="en-GB"/>
        </w:rPr>
        <w:t xml:space="preserve"> </w:t>
      </w:r>
      <w:r w:rsidR="00263623" w:rsidRPr="00B04D0D">
        <w:rPr>
          <w:lang w:eastAsia="en-GB"/>
        </w:rPr>
        <w:t>d</w:t>
      </w:r>
      <w:r w:rsidR="008615F7">
        <w:rPr>
          <w:lang w:eastAsia="en-GB"/>
        </w:rPr>
        <w:t>’</w:t>
      </w:r>
      <w:r w:rsidR="00263623" w:rsidRPr="00B04D0D">
        <w:rPr>
          <w:lang w:eastAsia="en-GB"/>
        </w:rPr>
        <w:t>une intégration progressive dans le système scolaire, l</w:t>
      </w:r>
      <w:r w:rsidR="008615F7">
        <w:rPr>
          <w:lang w:eastAsia="en-GB"/>
        </w:rPr>
        <w:t>’</w:t>
      </w:r>
      <w:r w:rsidR="00263623" w:rsidRPr="00B04D0D">
        <w:rPr>
          <w:lang w:eastAsia="en-GB"/>
        </w:rPr>
        <w:t>ECRI voudrait attirer</w:t>
      </w:r>
      <w:r w:rsidR="00263623">
        <w:rPr>
          <w:lang w:eastAsia="en-GB"/>
        </w:rPr>
        <w:t xml:space="preserve"> </w:t>
      </w:r>
      <w:r w:rsidR="00263623" w:rsidRPr="00B04D0D">
        <w:rPr>
          <w:lang w:eastAsia="en-GB"/>
        </w:rPr>
        <w:t>l</w:t>
      </w:r>
      <w:r w:rsidR="008615F7">
        <w:rPr>
          <w:lang w:eastAsia="en-GB"/>
        </w:rPr>
        <w:t>’</w:t>
      </w:r>
      <w:r w:rsidR="00263623" w:rsidRPr="00B04D0D">
        <w:rPr>
          <w:lang w:eastAsia="en-GB"/>
        </w:rPr>
        <w:t>attention des autorités grecques sur son point de vue sur cette question, tel</w:t>
      </w:r>
      <w:r w:rsidR="00263623">
        <w:rPr>
          <w:lang w:eastAsia="en-GB"/>
        </w:rPr>
        <w:t xml:space="preserve"> </w:t>
      </w:r>
      <w:r w:rsidR="00263623" w:rsidRPr="00B04D0D">
        <w:rPr>
          <w:lang w:eastAsia="en-GB"/>
        </w:rPr>
        <w:t>qu</w:t>
      </w:r>
      <w:r w:rsidR="008615F7">
        <w:rPr>
          <w:lang w:eastAsia="en-GB"/>
        </w:rPr>
        <w:t>’</w:t>
      </w:r>
      <w:r w:rsidR="00263623" w:rsidRPr="00B04D0D">
        <w:rPr>
          <w:lang w:eastAsia="en-GB"/>
        </w:rPr>
        <w:t>énoncé dans sa Recommandation de politique générale n</w:t>
      </w:r>
      <w:r w:rsidR="003759D8" w:rsidRPr="003759D8">
        <w:rPr>
          <w:vertAlign w:val="superscript"/>
          <w:lang w:eastAsia="en-GB"/>
        </w:rPr>
        <w:t>o</w:t>
      </w:r>
      <w:r w:rsidR="00263623" w:rsidRPr="00B04D0D">
        <w:rPr>
          <w:lang w:eastAsia="en-GB"/>
        </w:rPr>
        <w:t xml:space="preserve"> 10 sur le racisme et la</w:t>
      </w:r>
      <w:r w:rsidR="00263623">
        <w:rPr>
          <w:lang w:eastAsia="en-GB"/>
        </w:rPr>
        <w:t xml:space="preserve"> </w:t>
      </w:r>
      <w:r w:rsidR="00263623" w:rsidRPr="00B04D0D">
        <w:rPr>
          <w:lang w:eastAsia="en-GB"/>
        </w:rPr>
        <w:t>discrimination raciale dans et à travers l</w:t>
      </w:r>
      <w:r w:rsidR="008615F7">
        <w:rPr>
          <w:lang w:eastAsia="en-GB"/>
        </w:rPr>
        <w:t>’</w:t>
      </w:r>
      <w:r w:rsidR="00263623" w:rsidRPr="00B04D0D">
        <w:rPr>
          <w:lang w:eastAsia="en-GB"/>
        </w:rPr>
        <w:t>éducation scolaire. Dans cette</w:t>
      </w:r>
      <w:r w:rsidR="00263623">
        <w:rPr>
          <w:lang w:eastAsia="en-GB"/>
        </w:rPr>
        <w:t xml:space="preserve"> </w:t>
      </w:r>
      <w:r w:rsidR="00263623" w:rsidRPr="00B04D0D">
        <w:rPr>
          <w:lang w:eastAsia="en-GB"/>
        </w:rPr>
        <w:t>recommandation de politique générale, elle recommande la création, dans des cas</w:t>
      </w:r>
      <w:r w:rsidR="00263623">
        <w:rPr>
          <w:lang w:eastAsia="en-GB"/>
        </w:rPr>
        <w:t xml:space="preserve"> </w:t>
      </w:r>
      <w:r w:rsidR="00263623" w:rsidRPr="00B04D0D">
        <w:rPr>
          <w:lang w:eastAsia="en-GB"/>
        </w:rPr>
        <w:t>particuliers et limités dans le temps, de classes préparatoires pour les élèves issus de</w:t>
      </w:r>
      <w:r w:rsidR="00263623">
        <w:rPr>
          <w:lang w:eastAsia="en-GB"/>
        </w:rPr>
        <w:t xml:space="preserve"> </w:t>
      </w:r>
      <w:r w:rsidR="00263623" w:rsidRPr="00B04D0D">
        <w:rPr>
          <w:lang w:eastAsia="en-GB"/>
        </w:rPr>
        <w:t>groupes minoritaires, si un tel besoin est justifié par des critères objectifs et</w:t>
      </w:r>
      <w:r w:rsidR="00263623">
        <w:rPr>
          <w:lang w:eastAsia="en-GB"/>
        </w:rPr>
        <w:t xml:space="preserve"> </w:t>
      </w:r>
      <w:r w:rsidR="00263623" w:rsidRPr="00B04D0D">
        <w:rPr>
          <w:lang w:eastAsia="en-GB"/>
        </w:rPr>
        <w:t>raisonnables et si l</w:t>
      </w:r>
      <w:r w:rsidR="008615F7">
        <w:rPr>
          <w:lang w:eastAsia="en-GB"/>
        </w:rPr>
        <w:t>’</w:t>
      </w:r>
      <w:r w:rsidR="00263623" w:rsidRPr="00B04D0D">
        <w:rPr>
          <w:lang w:eastAsia="en-GB"/>
        </w:rPr>
        <w:t>intérêt supérieur de l</w:t>
      </w:r>
      <w:r w:rsidR="008615F7">
        <w:rPr>
          <w:lang w:eastAsia="en-GB"/>
        </w:rPr>
        <w:t>’</w:t>
      </w:r>
      <w:r w:rsidR="00263623">
        <w:rPr>
          <w:lang w:eastAsia="en-GB"/>
        </w:rPr>
        <w:t>enfant le commande. »</w:t>
      </w:r>
    </w:p>
    <w:p w:rsidR="000F6FD5" w:rsidRDefault="005114F5" w:rsidP="005114F5">
      <w:pPr>
        <w:pStyle w:val="JuHA"/>
      </w:pPr>
      <w:r>
        <w:t>C.  </w:t>
      </w:r>
      <w:r w:rsidR="001C78F1" w:rsidRPr="001C78F1">
        <w:t>La Convention internationale sur l</w:t>
      </w:r>
      <w:r w:rsidR="008615F7">
        <w:t>’</w:t>
      </w:r>
      <w:r w:rsidR="001C78F1" w:rsidRPr="001C78F1">
        <w:t>élimination de toutes les formes de discrimination raciale</w:t>
      </w:r>
    </w:p>
    <w:p w:rsidR="001C78F1" w:rsidRPr="001C78F1" w:rsidRDefault="005114F5" w:rsidP="005114F5">
      <w:pPr>
        <w:pStyle w:val="JuPara"/>
      </w:pPr>
      <w:r>
        <w:fldChar w:fldCharType="begin"/>
      </w:r>
      <w:r>
        <w:instrText xml:space="preserve"> SEQ level0 \*arabic </w:instrText>
      </w:r>
      <w:r>
        <w:fldChar w:fldCharType="separate"/>
      </w:r>
      <w:r w:rsidR="00554499">
        <w:rPr>
          <w:noProof/>
        </w:rPr>
        <w:t>31</w:t>
      </w:r>
      <w:r>
        <w:fldChar w:fldCharType="end"/>
      </w:r>
      <w:r>
        <w:t>.  </w:t>
      </w:r>
      <w:r w:rsidR="001C78F1" w:rsidRPr="001C78F1">
        <w:t>L</w:t>
      </w:r>
      <w:r w:rsidR="008615F7">
        <w:t>’</w:t>
      </w:r>
      <w:r w:rsidR="001C78F1" w:rsidRPr="001C78F1">
        <w:t>article 1 de c</w:t>
      </w:r>
      <w:r w:rsidR="00985135">
        <w:t xml:space="preserve">ette </w:t>
      </w:r>
      <w:r w:rsidR="0056350C">
        <w:t>c</w:t>
      </w:r>
      <w:r w:rsidR="00985135">
        <w:t>onvention prévoit :</w:t>
      </w:r>
    </w:p>
    <w:p w:rsidR="001C78F1" w:rsidRPr="006920DB" w:rsidRDefault="003503B2" w:rsidP="005114F5">
      <w:pPr>
        <w:pStyle w:val="JuQuot"/>
        <w:rPr>
          <w:lang w:eastAsia="en-GB"/>
        </w:rPr>
      </w:pPr>
      <w:r>
        <w:t>« </w:t>
      </w:r>
      <w:r w:rsidR="001C78F1">
        <w:t>(...) l</w:t>
      </w:r>
      <w:r w:rsidR="008615F7">
        <w:t>’</w:t>
      </w:r>
      <w:r w:rsidR="001C78F1">
        <w:t xml:space="preserve">expression </w:t>
      </w:r>
      <w:r>
        <w:t>« </w:t>
      </w:r>
      <w:r w:rsidR="001C78F1">
        <w:t>discrimination raciale</w:t>
      </w:r>
      <w:r>
        <w:t> »</w:t>
      </w:r>
      <w:r w:rsidR="001C78F1">
        <w:t xml:space="preserve"> vise toute distinction, exclusion, restriction ou préférence fondée sur la race, la couleur, l</w:t>
      </w:r>
      <w:r w:rsidR="008615F7">
        <w:t>’</w:t>
      </w:r>
      <w:r w:rsidR="001C78F1">
        <w:t>ascendance ou l</w:t>
      </w:r>
      <w:r w:rsidR="008615F7">
        <w:t>’</w:t>
      </w:r>
      <w:r w:rsidR="001C78F1">
        <w:t>origine nationale ou ethnique, qui a pour but ou pour effet de détruire ou de compromettre la reconnaissance, la jouissance ou l</w:t>
      </w:r>
      <w:r w:rsidR="008615F7">
        <w:t>’</w:t>
      </w:r>
      <w:r w:rsidR="001C78F1">
        <w:t>exercice, dans des conditions d</w:t>
      </w:r>
      <w:r w:rsidR="008615F7">
        <w:t>’</w:t>
      </w:r>
      <w:r w:rsidR="001C78F1">
        <w:t>égalité, des droits de l</w:t>
      </w:r>
      <w:r w:rsidR="008615F7">
        <w:t>’</w:t>
      </w:r>
      <w:r w:rsidR="001C78F1">
        <w:t xml:space="preserve">homme et des libertés fondamentales dans les domaines politique, économique, </w:t>
      </w:r>
      <w:r w:rsidR="001C78F1" w:rsidRPr="006920DB">
        <w:t>social et culturel ou dans tout autre domaine de la vie publique</w:t>
      </w:r>
      <w:r w:rsidR="0067270E" w:rsidRPr="006920DB">
        <w:t>. »</w:t>
      </w:r>
    </w:p>
    <w:p w:rsidR="001C78F1" w:rsidRPr="006920DB" w:rsidRDefault="005114F5" w:rsidP="005114F5">
      <w:pPr>
        <w:pStyle w:val="JuPara"/>
      </w:pPr>
      <w:r w:rsidRPr="006920DB">
        <w:fldChar w:fldCharType="begin"/>
      </w:r>
      <w:r w:rsidRPr="006920DB">
        <w:instrText xml:space="preserve"> SEQ level0 \*arabic </w:instrText>
      </w:r>
      <w:r w:rsidRPr="006920DB">
        <w:fldChar w:fldCharType="separate"/>
      </w:r>
      <w:r w:rsidR="00554499">
        <w:rPr>
          <w:noProof/>
        </w:rPr>
        <w:t>32</w:t>
      </w:r>
      <w:r w:rsidRPr="006920DB">
        <w:fldChar w:fldCharType="end"/>
      </w:r>
      <w:r w:rsidRPr="006920DB">
        <w:t>.  </w:t>
      </w:r>
      <w:r w:rsidR="001C78F1" w:rsidRPr="006920DB">
        <w:t>D</w:t>
      </w:r>
      <w:r w:rsidR="00985135" w:rsidRPr="006920DB">
        <w:t>ans sa recommandation générale n</w:t>
      </w:r>
      <w:r w:rsidR="003759D8" w:rsidRPr="003759D8">
        <w:rPr>
          <w:vertAlign w:val="superscript"/>
        </w:rPr>
        <w:t>o</w:t>
      </w:r>
      <w:r w:rsidR="001C78F1" w:rsidRPr="006920DB">
        <w:rPr>
          <w:sz w:val="16"/>
          <w:szCs w:val="16"/>
        </w:rPr>
        <w:t xml:space="preserve"> </w:t>
      </w:r>
      <w:r w:rsidR="001C78F1" w:rsidRPr="006920DB">
        <w:t>27 du 16 août 2000 concernant la discrimination à l</w:t>
      </w:r>
      <w:r w:rsidR="008615F7">
        <w:t>’</w:t>
      </w:r>
      <w:r w:rsidR="001C78F1" w:rsidRPr="006920DB">
        <w:t xml:space="preserve">égard des Roms, le Comité </w:t>
      </w:r>
      <w:r w:rsidR="00DD10B3">
        <w:t xml:space="preserve">des Nations Unies </w:t>
      </w:r>
      <w:r w:rsidRPr="006920DB">
        <w:t>pour l</w:t>
      </w:r>
      <w:r w:rsidR="008615F7">
        <w:t>’</w:t>
      </w:r>
      <w:r w:rsidRPr="006920DB">
        <w:t>élimination de la discrimination raciale</w:t>
      </w:r>
      <w:r w:rsidR="0056350C" w:rsidRPr="006920DB">
        <w:t xml:space="preserve"> préconise</w:t>
      </w:r>
      <w:r w:rsidR="001C78F1" w:rsidRPr="006920DB">
        <w:t xml:space="preserve"> notamment les mesures suivantes dans le domaine de </w:t>
      </w:r>
      <w:r w:rsidR="00985135" w:rsidRPr="006920DB">
        <w:t>l</w:t>
      </w:r>
      <w:r w:rsidR="008615F7">
        <w:t>’</w:t>
      </w:r>
      <w:r w:rsidR="00985135" w:rsidRPr="006920DB">
        <w:t>éducation :</w:t>
      </w:r>
    </w:p>
    <w:p w:rsidR="001C78F1" w:rsidRPr="001C78F1" w:rsidRDefault="009E6003" w:rsidP="005114F5">
      <w:pPr>
        <w:pStyle w:val="JuQuot"/>
      </w:pPr>
      <w:r w:rsidRPr="006920DB">
        <w:t>« </w:t>
      </w:r>
      <w:r w:rsidR="001C78F1" w:rsidRPr="006920DB">
        <w:t>18.</w:t>
      </w:r>
      <w:r w:rsidR="003503B2" w:rsidRPr="006920DB">
        <w:t>  </w:t>
      </w:r>
      <w:r w:rsidR="001C78F1" w:rsidRPr="006920DB">
        <w:t>Prévenir et éviter autant que possible la ségrégation des élèves roms, tout en laissant ouverte la possibilité d</w:t>
      </w:r>
      <w:r w:rsidR="008615F7">
        <w:t>’</w:t>
      </w:r>
      <w:r w:rsidR="001C78F1" w:rsidRPr="006920DB">
        <w:t>un enseignement bi</w:t>
      </w:r>
      <w:r w:rsidR="00985135" w:rsidRPr="006920DB">
        <w:t>lingue ou en langue maternelle ;</w:t>
      </w:r>
      <w:r w:rsidR="001C78F1" w:rsidRPr="006920DB">
        <w:t xml:space="preserve"> à cette fin, s</w:t>
      </w:r>
      <w:r w:rsidR="008615F7">
        <w:t>’</w:t>
      </w:r>
      <w:r w:rsidR="001C78F1" w:rsidRPr="006920DB">
        <w:t>attacher à améliorer la qualité de l</w:t>
      </w:r>
      <w:r w:rsidR="008615F7">
        <w:t>’</w:t>
      </w:r>
      <w:r w:rsidR="001C78F1" w:rsidRPr="006920DB">
        <w:t>enseignement dispensé dans toutes les</w:t>
      </w:r>
      <w:r w:rsidR="001C78F1" w:rsidRPr="001C78F1">
        <w:t xml:space="preserve"> écoles ainsi qu</w:t>
      </w:r>
      <w:r w:rsidR="008615F7">
        <w:t>’</w:t>
      </w:r>
      <w:r w:rsidR="001C78F1" w:rsidRPr="001C78F1">
        <w:t>à relever le niveau des résultats scolaires des élèves de la minorité rom, à recruter du personnel scolaire appartenant aux communautés roms et à promouvoir une éducation interculturelle.</w:t>
      </w:r>
      <w:r w:rsidR="003503B2">
        <w:t> »</w:t>
      </w:r>
    </w:p>
    <w:p w:rsidR="00726CEC" w:rsidRPr="00726CEC" w:rsidRDefault="005114F5" w:rsidP="005114F5">
      <w:pPr>
        <w:pStyle w:val="JuPara"/>
      </w:pPr>
      <w:r>
        <w:fldChar w:fldCharType="begin"/>
      </w:r>
      <w:r>
        <w:instrText xml:space="preserve"> SEQ level0 \*arabic </w:instrText>
      </w:r>
      <w:r>
        <w:fldChar w:fldCharType="separate"/>
      </w:r>
      <w:r w:rsidR="00554499">
        <w:rPr>
          <w:noProof/>
        </w:rPr>
        <w:t>33</w:t>
      </w:r>
      <w:r>
        <w:fldChar w:fldCharType="end"/>
      </w:r>
      <w:r>
        <w:t>.  </w:t>
      </w:r>
      <w:r w:rsidR="00484FCF">
        <w:t>Dans ses observations finales</w:t>
      </w:r>
      <w:r w:rsidR="00084161">
        <w:t xml:space="preserve"> du 11</w:t>
      </w:r>
      <w:r w:rsidR="00726CEC" w:rsidRPr="00726CEC">
        <w:t xml:space="preserve"> </w:t>
      </w:r>
      <w:r w:rsidR="00084161">
        <w:t>avril 2007</w:t>
      </w:r>
      <w:r w:rsidR="00D362D1">
        <w:t>,</w:t>
      </w:r>
      <w:r w:rsidR="00084161">
        <w:t xml:space="preserve"> </w:t>
      </w:r>
      <w:r w:rsidR="00726CEC" w:rsidRPr="00726CEC">
        <w:t>formulées à l</w:t>
      </w:r>
      <w:r w:rsidR="008615F7">
        <w:t>’</w:t>
      </w:r>
      <w:r w:rsidR="00726CEC" w:rsidRPr="00726CEC">
        <w:t>issue de l</w:t>
      </w:r>
      <w:r w:rsidR="008615F7">
        <w:t>’</w:t>
      </w:r>
      <w:r w:rsidR="00726CEC" w:rsidRPr="00726CEC">
        <w:t>examen du rapport de la République</w:t>
      </w:r>
      <w:r w:rsidR="00084161">
        <w:t xml:space="preserve"> tchèque (doc. CERD/C/CZE/CO/</w:t>
      </w:r>
      <w:r w:rsidR="00726CEC" w:rsidRPr="00726CEC">
        <w:t xml:space="preserve">7), </w:t>
      </w:r>
      <w:r w:rsidR="00726CEC" w:rsidRPr="007F7B6A">
        <w:t xml:space="preserve">le </w:t>
      </w:r>
      <w:r w:rsidR="007F7B6A" w:rsidRPr="007F7B6A">
        <w:t>c</w:t>
      </w:r>
      <w:r w:rsidR="00726CEC" w:rsidRPr="007F7B6A">
        <w:t xml:space="preserve">omité </w:t>
      </w:r>
      <w:r w:rsidR="007F7B6A">
        <w:t>a en particulier</w:t>
      </w:r>
      <w:r w:rsidR="00726CEC" w:rsidRPr="007F7B6A">
        <w:t xml:space="preserve"> </w:t>
      </w:r>
      <w:r w:rsidR="00084161">
        <w:t>exprimé sa préoccupation (paragraphe 17) suite à des informations faisant état de ségrégation raciale à l</w:t>
      </w:r>
      <w:r w:rsidR="008615F7">
        <w:t>’</w:t>
      </w:r>
      <w:r w:rsidR="00084161">
        <w:t xml:space="preserve">égard des </w:t>
      </w:r>
      <w:r w:rsidR="001A044A">
        <w:t>Roms dans le domaine de l</w:t>
      </w:r>
      <w:r w:rsidR="008615F7">
        <w:t>’</w:t>
      </w:r>
      <w:r w:rsidR="001A044A">
        <w:t>éducation. Le Comité a noté qu</w:t>
      </w:r>
      <w:r w:rsidR="008615F7">
        <w:t>’</w:t>
      </w:r>
      <w:r w:rsidR="001A044A">
        <w:t>un grand nombre d</w:t>
      </w:r>
      <w:r w:rsidR="008615F7">
        <w:t>’</w:t>
      </w:r>
      <w:r w:rsidR="001A044A">
        <w:t>enfants roms sont inscrits dans des « écoles spéciales »</w:t>
      </w:r>
      <w:r w:rsidR="009C2487">
        <w:t>.</w:t>
      </w:r>
      <w:r w:rsidR="001A044A">
        <w:t xml:space="preserve"> En dépit du fait que cette situation </w:t>
      </w:r>
      <w:r w:rsidR="00D362D1">
        <w:t>résultait, comme le soutenait</w:t>
      </w:r>
      <w:r w:rsidR="001A044A">
        <w:t xml:space="preserve"> la République tchèque, du besoin d</w:t>
      </w:r>
      <w:r w:rsidR="008615F7">
        <w:t>’</w:t>
      </w:r>
      <w:r w:rsidR="001A044A">
        <w:t xml:space="preserve">adopter des mesures adaptées à leurs besoins, elle </w:t>
      </w:r>
      <w:r w:rsidR="00D362D1">
        <w:t>était</w:t>
      </w:r>
      <w:r w:rsidR="009C2487">
        <w:t xml:space="preserve"> </w:t>
      </w:r>
      <w:r w:rsidR="001A044A">
        <w:t>aussi la conséquence des pratiques discriminatoires et d</w:t>
      </w:r>
      <w:r w:rsidR="008615F7">
        <w:t>’</w:t>
      </w:r>
      <w:r w:rsidR="001A044A">
        <w:t>un manque de sensibilité de la part des autorités au regard de l</w:t>
      </w:r>
      <w:r w:rsidR="008615F7">
        <w:t>’</w:t>
      </w:r>
      <w:r w:rsidR="001A044A">
        <w:t xml:space="preserve">identité culturelle et des difficultés </w:t>
      </w:r>
      <w:r w:rsidR="00D362D1">
        <w:t>auxquelles étaient</w:t>
      </w:r>
      <w:r w:rsidR="009C2487">
        <w:t xml:space="preserve"> confrontées les Roms. Le comité recommandait à la </w:t>
      </w:r>
      <w:r w:rsidR="009C2487" w:rsidRPr="00726CEC">
        <w:t>République</w:t>
      </w:r>
      <w:r w:rsidR="009C2487">
        <w:t xml:space="preserve"> tchèque d</w:t>
      </w:r>
      <w:r w:rsidR="008615F7">
        <w:t>’</w:t>
      </w:r>
      <w:r w:rsidR="009C2487">
        <w:t>augmenter ses efforts afin d</w:t>
      </w:r>
      <w:r w:rsidR="008615F7">
        <w:t>’</w:t>
      </w:r>
      <w:r w:rsidR="009C2487">
        <w:t>évaluer la situation des Roms dans le domaine de l</w:t>
      </w:r>
      <w:r w:rsidR="008615F7">
        <w:t>’</w:t>
      </w:r>
      <w:r w:rsidR="009C2487">
        <w:t xml:space="preserve">éducation, de développer des programmes de nature à mettre </w:t>
      </w:r>
      <w:r w:rsidR="00D362D1">
        <w:t>fin à leur</w:t>
      </w:r>
      <w:r w:rsidR="009C2487">
        <w:t xml:space="preserve"> ségrégation dans ce domaine et à établir une méthode </w:t>
      </w:r>
      <w:r w:rsidR="00D362D1">
        <w:t>permettant de déterminer dans quels cas les enfants roms devraient être inscrits dans des écoles spéciales afin d</w:t>
      </w:r>
      <w:r w:rsidR="008615F7">
        <w:t>’</w:t>
      </w:r>
      <w:r w:rsidR="00D362D1">
        <w:t>éviter toute discrimination indirecte sur le fondement de leur identité culturelle.</w:t>
      </w:r>
    </w:p>
    <w:p w:rsidR="000F6FD5" w:rsidRDefault="005114F5" w:rsidP="005114F5">
      <w:pPr>
        <w:pStyle w:val="JuHA"/>
      </w:pPr>
      <w:r>
        <w:t>D</w:t>
      </w:r>
      <w:r w:rsidR="001C78F1" w:rsidRPr="001C78F1">
        <w:t>.</w:t>
      </w:r>
      <w:r>
        <w:t>  </w:t>
      </w:r>
      <w:r w:rsidR="009E6003">
        <w:t>L</w:t>
      </w:r>
      <w:r w:rsidR="008615F7">
        <w:t>’</w:t>
      </w:r>
      <w:r w:rsidR="001C78F1" w:rsidRPr="001C78F1">
        <w:t>Organisation des Nations unies pour l</w:t>
      </w:r>
      <w:r w:rsidR="008615F7">
        <w:t>’</w:t>
      </w:r>
      <w:r w:rsidR="001C78F1" w:rsidRPr="001C78F1">
        <w:t>éducation, la science et la culture (Unesco)</w:t>
      </w:r>
    </w:p>
    <w:p w:rsidR="001C78F1" w:rsidRPr="001C78F1" w:rsidRDefault="00CB241F" w:rsidP="005114F5">
      <w:pPr>
        <w:pStyle w:val="JuPara"/>
      </w:pPr>
      <w:r>
        <w:fldChar w:fldCharType="begin"/>
      </w:r>
      <w:r>
        <w:instrText xml:space="preserve"> SEQ level0 \*arabic </w:instrText>
      </w:r>
      <w:r>
        <w:fldChar w:fldCharType="separate"/>
      </w:r>
      <w:r w:rsidR="00554499">
        <w:rPr>
          <w:noProof/>
        </w:rPr>
        <w:t>34</w:t>
      </w:r>
      <w:r>
        <w:fldChar w:fldCharType="end"/>
      </w:r>
      <w:r>
        <w:t>.  L</w:t>
      </w:r>
      <w:r w:rsidR="008615F7">
        <w:t>’</w:t>
      </w:r>
      <w:r>
        <w:t>article 1</w:t>
      </w:r>
      <w:r w:rsidR="001C78F1" w:rsidRPr="001C78F1">
        <w:t xml:space="preserve"> de la Convention</w:t>
      </w:r>
      <w:r w:rsidR="006920DB">
        <w:t xml:space="preserve"> du 14 décembre 1960</w:t>
      </w:r>
      <w:r w:rsidR="001C78F1" w:rsidRPr="001C78F1">
        <w:t xml:space="preserve"> concernant la lutte contre la discrimination dans le domaine de l</w:t>
      </w:r>
      <w:r w:rsidR="008615F7">
        <w:t>’</w:t>
      </w:r>
      <w:r w:rsidR="001C78F1" w:rsidRPr="001C78F1">
        <w:t xml:space="preserve">enseignement </w:t>
      </w:r>
      <w:r>
        <w:t>dispose :</w:t>
      </w:r>
    </w:p>
    <w:p w:rsidR="001C78F1" w:rsidRPr="001C78F1" w:rsidRDefault="005114F5" w:rsidP="005114F5">
      <w:pPr>
        <w:pStyle w:val="JuQuot"/>
      </w:pPr>
      <w:r>
        <w:t>« </w:t>
      </w:r>
      <w:r w:rsidR="001C78F1" w:rsidRPr="001C78F1">
        <w:t>1.</w:t>
      </w:r>
      <w:r w:rsidR="003503B2">
        <w:t>  </w:t>
      </w:r>
      <w:r w:rsidR="001C78F1" w:rsidRPr="001C78F1">
        <w:t xml:space="preserve">Aux fins de la présente Convention, le terme </w:t>
      </w:r>
      <w:r w:rsidR="003503B2">
        <w:t>« </w:t>
      </w:r>
      <w:r w:rsidR="001C78F1" w:rsidRPr="001C78F1">
        <w:t>discrimination</w:t>
      </w:r>
      <w:r w:rsidR="003503B2">
        <w:t> »</w:t>
      </w:r>
      <w:r w:rsidR="001C78F1" w:rsidRPr="001C78F1">
        <w:t xml:space="preserve"> comprend toute distinction, exclusion, limitation ou préférence qui, fondée sur la race, la couleur, le sexe, la langue, la religion, l</w:t>
      </w:r>
      <w:r w:rsidR="008615F7">
        <w:t>’</w:t>
      </w:r>
      <w:r w:rsidR="001C78F1" w:rsidRPr="001C78F1">
        <w:t>opinion politique ou toute autre opinion, l</w:t>
      </w:r>
      <w:r w:rsidR="008615F7">
        <w:t>’</w:t>
      </w:r>
      <w:r w:rsidR="001C78F1" w:rsidRPr="001C78F1">
        <w:t>origine nationale ou sociale, la condition économique ou la naissance, a pour objet ou pour effet de détruire ou d</w:t>
      </w:r>
      <w:r w:rsidR="008615F7">
        <w:t>’</w:t>
      </w:r>
      <w:r w:rsidR="001C78F1" w:rsidRPr="001C78F1">
        <w:t>altérer l</w:t>
      </w:r>
      <w:r w:rsidR="008615F7">
        <w:t>’</w:t>
      </w:r>
      <w:r w:rsidR="001C78F1" w:rsidRPr="001C78F1">
        <w:t>égalité de traitement en matière</w:t>
      </w:r>
      <w:r w:rsidR="009E6003">
        <w:t xml:space="preserve"> d</w:t>
      </w:r>
      <w:r w:rsidR="008615F7">
        <w:t>’</w:t>
      </w:r>
      <w:r w:rsidR="009E6003">
        <w:t>enseignement et, notamment :</w:t>
      </w:r>
    </w:p>
    <w:p w:rsidR="001C78F1" w:rsidRPr="001C78F1" w:rsidRDefault="009E6003" w:rsidP="005114F5">
      <w:pPr>
        <w:pStyle w:val="JuQuot"/>
      </w:pPr>
      <w:r>
        <w:t>(</w:t>
      </w:r>
      <w:r w:rsidR="003759D8">
        <w:t>...</w:t>
      </w:r>
      <w:r>
        <w:t>)</w:t>
      </w:r>
    </w:p>
    <w:p w:rsidR="000F6FD5" w:rsidRDefault="001C78F1" w:rsidP="005114F5">
      <w:pPr>
        <w:pStyle w:val="JuQuot"/>
      </w:pPr>
      <w:r w:rsidRPr="006920DB">
        <w:rPr>
          <w:i/>
        </w:rPr>
        <w:t>c.</w:t>
      </w:r>
      <w:r w:rsidR="003503B2">
        <w:t>  </w:t>
      </w:r>
      <w:r w:rsidRPr="001C78F1">
        <w:t>Sous réserve de ce qui est dit à l</w:t>
      </w:r>
      <w:r w:rsidR="008615F7">
        <w:t>’</w:t>
      </w:r>
      <w:r w:rsidRPr="001C78F1">
        <w:t>article 2 de la présente Convention, d</w:t>
      </w:r>
      <w:r w:rsidR="008615F7">
        <w:t>’</w:t>
      </w:r>
      <w:r w:rsidRPr="001C78F1">
        <w:t>instituer ou de maintenir des systèmes ou des établissements d</w:t>
      </w:r>
      <w:r w:rsidR="008615F7">
        <w:t>’</w:t>
      </w:r>
      <w:r w:rsidRPr="001C78F1">
        <w:t>enseignement séparés po</w:t>
      </w:r>
      <w:r w:rsidR="005114F5">
        <w:t>ur des personnes ou des groupes ;</w:t>
      </w:r>
    </w:p>
    <w:p w:rsidR="001C78F1" w:rsidRDefault="005114F5" w:rsidP="005114F5">
      <w:pPr>
        <w:pStyle w:val="JuQuot"/>
      </w:pPr>
      <w:r>
        <w:t>(...) »</w:t>
      </w:r>
    </w:p>
    <w:p w:rsidR="00EC6427" w:rsidRDefault="00EC6427" w:rsidP="00B33C50">
      <w:pPr>
        <w:pStyle w:val="JuHHead"/>
      </w:pPr>
      <w:r w:rsidRPr="00520ECC">
        <w:t>EN DROIT</w:t>
      </w:r>
    </w:p>
    <w:p w:rsidR="00BC23D5" w:rsidRDefault="00BC23D5" w:rsidP="00BC23D5">
      <w:pPr>
        <w:pStyle w:val="JuHIRoman"/>
      </w:pPr>
      <w:r w:rsidRPr="005118E7">
        <w:t>I.  OBSERVATIONS LIMINAIRES</w:t>
      </w:r>
    </w:p>
    <w:p w:rsidR="00BC23D5" w:rsidRDefault="00BC23D5" w:rsidP="00BC23D5">
      <w:pPr>
        <w:pStyle w:val="JuHA"/>
      </w:pPr>
      <w:r>
        <w:t>A.  </w:t>
      </w:r>
      <w:r w:rsidR="00937B1A">
        <w:t>Sur la v</w:t>
      </w:r>
      <w:r>
        <w:t>alidité du mandat donné au Greek Helsinki Monitor</w:t>
      </w:r>
      <w:r w:rsidR="00937B1A">
        <w:t xml:space="preserve"> (GHM)</w:t>
      </w:r>
    </w:p>
    <w:p w:rsidR="00BC23D5" w:rsidRDefault="00BC23D5" w:rsidP="00BC23D5">
      <w:pPr>
        <w:pStyle w:val="JuPara"/>
      </w:pPr>
      <w:r>
        <w:fldChar w:fldCharType="begin"/>
      </w:r>
      <w:r>
        <w:instrText xml:space="preserve"> SEQ level0 \*arabic </w:instrText>
      </w:r>
      <w:r>
        <w:fldChar w:fldCharType="separate"/>
      </w:r>
      <w:r w:rsidR="00554499">
        <w:rPr>
          <w:noProof/>
        </w:rPr>
        <w:t>35</w:t>
      </w:r>
      <w:r>
        <w:fldChar w:fldCharType="end"/>
      </w:r>
      <w:r>
        <w:t xml:space="preserve">.  Le Gouvernement exprime des doutes </w:t>
      </w:r>
      <w:r w:rsidR="006246E8">
        <w:t>quant à la crédibilité du</w:t>
      </w:r>
      <w:r>
        <w:t xml:space="preserve"> mandat donné au </w:t>
      </w:r>
      <w:r w:rsidR="00937B1A">
        <w:t>GHM</w:t>
      </w:r>
      <w:r>
        <w:t xml:space="preserve"> ou à son représentant légal, M. Dimitras, </w:t>
      </w:r>
      <w:r w:rsidR="006246E8">
        <w:t>pour</w:t>
      </w:r>
      <w:r w:rsidR="00937B1A">
        <w:t xml:space="preserve"> </w:t>
      </w:r>
      <w:r>
        <w:t xml:space="preserve">représenter les requérants devant la Cour. Il </w:t>
      </w:r>
      <w:r w:rsidR="006246E8">
        <w:t>indique</w:t>
      </w:r>
      <w:r>
        <w:t xml:space="preserve"> </w:t>
      </w:r>
      <w:r w:rsidR="006246E8">
        <w:t xml:space="preserve">à cet égard </w:t>
      </w:r>
      <w:r>
        <w:t>que les procurations jointes à la requête sont signées par trois personnes</w:t>
      </w:r>
      <w:r w:rsidR="00883E5C">
        <w:t>,</w:t>
      </w:r>
      <w:r>
        <w:t xml:space="preserve"> </w:t>
      </w:r>
      <w:r w:rsidR="006246E8">
        <w:t>mais qu</w:t>
      </w:r>
      <w:r w:rsidR="008615F7">
        <w:t>’</w:t>
      </w:r>
      <w:r>
        <w:t xml:space="preserve">aucune </w:t>
      </w:r>
      <w:r w:rsidR="006246E8">
        <w:t>d</w:t>
      </w:r>
      <w:r w:rsidR="008615F7">
        <w:t>’</w:t>
      </w:r>
      <w:r w:rsidR="006246E8">
        <w:t xml:space="preserve">elle </w:t>
      </w:r>
      <w:r>
        <w:t>ne figure parmi les requérants.</w:t>
      </w:r>
    </w:p>
    <w:p w:rsidR="00BC23D5" w:rsidRDefault="00BC23D5" w:rsidP="00BC23D5">
      <w:pPr>
        <w:pStyle w:val="JuPara"/>
      </w:pPr>
      <w:r>
        <w:fldChar w:fldCharType="begin"/>
      </w:r>
      <w:r>
        <w:instrText xml:space="preserve"> SEQ level0 \*arabic </w:instrText>
      </w:r>
      <w:r>
        <w:fldChar w:fldCharType="separate"/>
      </w:r>
      <w:r w:rsidR="00554499">
        <w:rPr>
          <w:noProof/>
        </w:rPr>
        <w:t>36</w:t>
      </w:r>
      <w:r>
        <w:fldChar w:fldCharType="end"/>
      </w:r>
      <w:r>
        <w:t xml:space="preserve">.  Les requérants </w:t>
      </w:r>
      <w:r w:rsidR="00937B1A">
        <w:t>indiquent</w:t>
      </w:r>
      <w:r>
        <w:t xml:space="preserve"> que ces trois pouvoirs faisaient partie des annexes d</w:t>
      </w:r>
      <w:r w:rsidR="008615F7">
        <w:t>’</w:t>
      </w:r>
      <w:r>
        <w:t>une lettre adressée par le G</w:t>
      </w:r>
      <w:r w:rsidR="00937B1A">
        <w:t>HM</w:t>
      </w:r>
      <w:r>
        <w:t xml:space="preserve"> au ministre de l</w:t>
      </w:r>
      <w:r w:rsidR="008615F7">
        <w:t>’</w:t>
      </w:r>
      <w:r>
        <w:t xml:space="preserve">Education </w:t>
      </w:r>
      <w:r w:rsidR="00937B1A">
        <w:t xml:space="preserve">au sujet de </w:t>
      </w:r>
      <w:r>
        <w:t>la ségrégation des élèves roms dans plusieurs communes grecques</w:t>
      </w:r>
      <w:r w:rsidR="00937B1A">
        <w:t>,</w:t>
      </w:r>
      <w:r>
        <w:t xml:space="preserve"> dont Sofades</w:t>
      </w:r>
      <w:r w:rsidR="006246E8">
        <w:t>.</w:t>
      </w:r>
    </w:p>
    <w:p w:rsidR="00BC23D5" w:rsidRDefault="00BC23D5" w:rsidP="00BC23D5">
      <w:pPr>
        <w:pStyle w:val="JuPara"/>
      </w:pPr>
      <w:r>
        <w:fldChar w:fldCharType="begin"/>
      </w:r>
      <w:r>
        <w:instrText xml:space="preserve"> SEQ level0 \*arabic </w:instrText>
      </w:r>
      <w:r>
        <w:fldChar w:fldCharType="separate"/>
      </w:r>
      <w:r w:rsidR="00554499">
        <w:rPr>
          <w:noProof/>
        </w:rPr>
        <w:t>37</w:t>
      </w:r>
      <w:r>
        <w:fldChar w:fldCharType="end"/>
      </w:r>
      <w:r>
        <w:t xml:space="preserve">.  La Cour constate que les requérants ont déposé huit pouvoirs </w:t>
      </w:r>
      <w:r w:rsidR="006246E8">
        <w:t xml:space="preserve">qui </w:t>
      </w:r>
      <w:r>
        <w:t>émana</w:t>
      </w:r>
      <w:r w:rsidR="006246E8">
        <w:t>ie</w:t>
      </w:r>
      <w:r>
        <w:t>nt des parents des élèves requérants et qui ont été communiqués au Gouvernement avec les autres documents du dossier. Les requérants sont donc dûment représentés par le G</w:t>
      </w:r>
      <w:r w:rsidR="00937B1A">
        <w:t>HM</w:t>
      </w:r>
      <w:r>
        <w:t>.</w:t>
      </w:r>
    </w:p>
    <w:p w:rsidR="00BC23D5" w:rsidRDefault="00BC23D5" w:rsidP="00BC23D5">
      <w:pPr>
        <w:pStyle w:val="JuHA"/>
      </w:pPr>
      <w:r>
        <w:t>B.  </w:t>
      </w:r>
      <w:r w:rsidR="00937B1A">
        <w:t>Sur la v</w:t>
      </w:r>
      <w:r>
        <w:t>iolation alléguée de l</w:t>
      </w:r>
      <w:r w:rsidR="008615F7">
        <w:t>’</w:t>
      </w:r>
      <w:r>
        <w:t>article 34 de la Convention</w:t>
      </w:r>
    </w:p>
    <w:p w:rsidR="00BC23D5" w:rsidRDefault="00BC23D5" w:rsidP="00BC23D5">
      <w:pPr>
        <w:pStyle w:val="JuPara"/>
      </w:pPr>
      <w:r>
        <w:fldChar w:fldCharType="begin"/>
      </w:r>
      <w:r>
        <w:instrText xml:space="preserve"> SEQ level0 \*arabic </w:instrText>
      </w:r>
      <w:r>
        <w:fldChar w:fldCharType="separate"/>
      </w:r>
      <w:r w:rsidR="00554499">
        <w:rPr>
          <w:noProof/>
        </w:rPr>
        <w:t>38</w:t>
      </w:r>
      <w:r>
        <w:fldChar w:fldCharType="end"/>
      </w:r>
      <w:r>
        <w:t>.  Dans leurs observations en réponse à celles du Gouvernement, les requérants</w:t>
      </w:r>
      <w:r w:rsidR="00937B1A">
        <w:t xml:space="preserve"> dénoncent </w:t>
      </w:r>
      <w:r>
        <w:t>pour la première fois une violation de l</w:t>
      </w:r>
      <w:r w:rsidR="008615F7">
        <w:t>’</w:t>
      </w:r>
      <w:r>
        <w:t>article 34 de la Convention</w:t>
      </w:r>
      <w:r w:rsidR="00937B1A">
        <w:t xml:space="preserve"> qu</w:t>
      </w:r>
      <w:r w:rsidR="008615F7">
        <w:t>’</w:t>
      </w:r>
      <w:r w:rsidR="00937B1A">
        <w:t>aurait entraînée le</w:t>
      </w:r>
      <w:r w:rsidR="00080622">
        <w:t xml:space="preserve"> refus du Gouvernement de leur fournir, dans le cadre de l</w:t>
      </w:r>
      <w:r w:rsidR="008615F7">
        <w:t>’</w:t>
      </w:r>
      <w:r w:rsidR="00080622">
        <w:t xml:space="preserve">examen de la présente requête, un document très important </w:t>
      </w:r>
      <w:r w:rsidR="00283FD1">
        <w:t xml:space="preserve">à leurs yeux </w:t>
      </w:r>
      <w:r w:rsidR="00080622">
        <w:t>pour les faits de la cause</w:t>
      </w:r>
      <w:r w:rsidR="00FB17CC">
        <w:t>, à savoir l</w:t>
      </w:r>
      <w:r w:rsidR="008615F7">
        <w:t>’</w:t>
      </w:r>
      <w:r w:rsidR="00FB17CC">
        <w:t>annexe 8 aux observations du Gouvernement</w:t>
      </w:r>
      <w:r w:rsidR="00080622">
        <w:t>.</w:t>
      </w:r>
    </w:p>
    <w:p w:rsidR="00BC23D5" w:rsidRPr="00BC23D5" w:rsidRDefault="00080622" w:rsidP="00BC23D5">
      <w:pPr>
        <w:pStyle w:val="JuPara"/>
      </w:pPr>
      <w:r>
        <w:fldChar w:fldCharType="begin"/>
      </w:r>
      <w:r>
        <w:instrText xml:space="preserve"> SEQ level0 \*arabic </w:instrText>
      </w:r>
      <w:r>
        <w:fldChar w:fldCharType="separate"/>
      </w:r>
      <w:r w:rsidR="00554499">
        <w:rPr>
          <w:noProof/>
        </w:rPr>
        <w:t>39</w:t>
      </w:r>
      <w:r>
        <w:fldChar w:fldCharType="end"/>
      </w:r>
      <w:r>
        <w:t>.  La Cour note que la copie de ce document, l</w:t>
      </w:r>
      <w:r w:rsidR="008615F7">
        <w:t>’</w:t>
      </w:r>
      <w:r>
        <w:t>annexe 8 aux observations du Gouvernement, était incomplète car il manquait certain</w:t>
      </w:r>
      <w:r w:rsidR="00937B1A">
        <w:t>e</w:t>
      </w:r>
      <w:r>
        <w:t xml:space="preserve">s pages. Le </w:t>
      </w:r>
      <w:r w:rsidR="00937B1A">
        <w:t>G</w:t>
      </w:r>
      <w:r>
        <w:t xml:space="preserve">ouvernement a par la suite déposé au greffe une copie complète de ce document </w:t>
      </w:r>
      <w:r w:rsidR="00937B1A">
        <w:t xml:space="preserve">et celle-ci </w:t>
      </w:r>
      <w:r>
        <w:t>a été envoyée aux requérants. Aucune question de violation de l</w:t>
      </w:r>
      <w:r w:rsidR="008615F7">
        <w:t>’</w:t>
      </w:r>
      <w:r>
        <w:t>article 34 ne surgit donc en l</w:t>
      </w:r>
      <w:r w:rsidR="008615F7">
        <w:t>’</w:t>
      </w:r>
      <w:r>
        <w:t>espèce.</w:t>
      </w:r>
    </w:p>
    <w:p w:rsidR="00D33176" w:rsidRDefault="00D33176" w:rsidP="00D33176">
      <w:pPr>
        <w:pStyle w:val="JuHIRoman"/>
      </w:pPr>
      <w:r w:rsidRPr="00520ECC">
        <w:t>I</w:t>
      </w:r>
      <w:r w:rsidR="00BC23D5">
        <w:t>I</w:t>
      </w:r>
      <w:r w:rsidRPr="00520ECC">
        <w:t>.</w:t>
      </w:r>
      <w:r>
        <w:t>  SUR LES EXCEPTIONS PR</w:t>
      </w:r>
      <w:r w:rsidR="00937B1A">
        <w:t>É</w:t>
      </w:r>
      <w:r>
        <w:t>LIMINAIRES DU GOUVERNEMENT</w:t>
      </w:r>
    </w:p>
    <w:p w:rsidR="00D33176" w:rsidRDefault="00BC23D5" w:rsidP="009739BF">
      <w:pPr>
        <w:pStyle w:val="JuHA"/>
      </w:pPr>
      <w:r>
        <w:t>A</w:t>
      </w:r>
      <w:r w:rsidR="009739BF">
        <w:t>.  </w:t>
      </w:r>
      <w:r w:rsidR="00031889">
        <w:t>Non-respect du délai de six mois</w:t>
      </w:r>
    </w:p>
    <w:p w:rsidR="00031889" w:rsidRDefault="009739BF" w:rsidP="00D33176">
      <w:pPr>
        <w:pStyle w:val="JuPara"/>
      </w:pPr>
      <w:r>
        <w:fldChar w:fldCharType="begin"/>
      </w:r>
      <w:r>
        <w:instrText xml:space="preserve"> SEQ level0 \*arabic </w:instrText>
      </w:r>
      <w:r>
        <w:fldChar w:fldCharType="separate"/>
      </w:r>
      <w:r w:rsidR="00554499">
        <w:rPr>
          <w:noProof/>
        </w:rPr>
        <w:t>40</w:t>
      </w:r>
      <w:r>
        <w:fldChar w:fldCharType="end"/>
      </w:r>
      <w:r>
        <w:t>.  </w:t>
      </w:r>
      <w:r w:rsidR="00031889">
        <w:t>Le Gouvernement invite</w:t>
      </w:r>
      <w:r w:rsidR="00A554A0">
        <w:t xml:space="preserve"> d</w:t>
      </w:r>
      <w:r w:rsidR="008615F7">
        <w:t>’</w:t>
      </w:r>
      <w:r w:rsidR="00A554A0">
        <w:t>abord</w:t>
      </w:r>
      <w:r w:rsidR="00031889">
        <w:t xml:space="preserve"> la Cour à rejeter la requête pour non-respect du délai de six mois</w:t>
      </w:r>
      <w:r w:rsidR="00F5225D">
        <w:t>. Il soutient que</w:t>
      </w:r>
      <w:r w:rsidR="00031889">
        <w:t xml:space="preserve"> l</w:t>
      </w:r>
      <w:r w:rsidR="008615F7">
        <w:t>’</w:t>
      </w:r>
      <w:r w:rsidR="00031889">
        <w:t xml:space="preserve">introduction de la requête en janvier 2010, </w:t>
      </w:r>
      <w:r w:rsidR="00283FD1">
        <w:t>après l</w:t>
      </w:r>
      <w:r w:rsidR="008615F7">
        <w:t>’</w:t>
      </w:r>
      <w:r w:rsidR="00283FD1">
        <w:t>écoulement d</w:t>
      </w:r>
      <w:r w:rsidR="008615F7">
        <w:t>’</w:t>
      </w:r>
      <w:r w:rsidR="00031889">
        <w:t>une grande partie de l</w:t>
      </w:r>
      <w:r w:rsidR="008615F7">
        <w:t>’</w:t>
      </w:r>
      <w:r w:rsidR="00031889">
        <w:t>année s</w:t>
      </w:r>
      <w:r w:rsidR="00F77467">
        <w:t>colaire en cours,</w:t>
      </w:r>
      <w:r w:rsidR="00031889">
        <w:t xml:space="preserve"> </w:t>
      </w:r>
      <w:r w:rsidR="00283FD1">
        <w:t xml:space="preserve">la </w:t>
      </w:r>
      <w:r w:rsidR="00031889">
        <w:t>rendait tardive</w:t>
      </w:r>
      <w:r w:rsidR="00F5225D">
        <w:t>,</w:t>
      </w:r>
      <w:r w:rsidR="00031889">
        <w:t xml:space="preserve"> car </w:t>
      </w:r>
      <w:r w:rsidR="00F5225D">
        <w:t xml:space="preserve">elle ne pouvait plus, selon lui, avoir une quelconque </w:t>
      </w:r>
      <w:r w:rsidR="00031889">
        <w:t>conséquence sur la scolari</w:t>
      </w:r>
      <w:r w:rsidR="00283FD1">
        <w:t>té en cours</w:t>
      </w:r>
      <w:r w:rsidR="00031889">
        <w:t xml:space="preserve"> des élèves requérants</w:t>
      </w:r>
      <w:r w:rsidR="00F77467">
        <w:t xml:space="preserve">. </w:t>
      </w:r>
      <w:r w:rsidR="00F5225D">
        <w:t>L</w:t>
      </w:r>
      <w:r w:rsidR="00283FD1">
        <w:t>e Gouvernement ajoute que l</w:t>
      </w:r>
      <w:r w:rsidR="00F77467">
        <w:t xml:space="preserve">es </w:t>
      </w:r>
      <w:r w:rsidR="00283FD1">
        <w:t>requérants ont</w:t>
      </w:r>
      <w:r w:rsidR="00F5225D">
        <w:t xml:space="preserve"> présenté des </w:t>
      </w:r>
      <w:r w:rsidR="00F77467">
        <w:t xml:space="preserve">griefs </w:t>
      </w:r>
      <w:r w:rsidR="00F5225D">
        <w:t>relatifs à</w:t>
      </w:r>
      <w:r w:rsidR="00F77467">
        <w:t xml:space="preserve"> l</w:t>
      </w:r>
      <w:r w:rsidR="008615F7">
        <w:t>’</w:t>
      </w:r>
      <w:r w:rsidR="00F77467">
        <w:t xml:space="preserve">année </w:t>
      </w:r>
      <w:r w:rsidR="00F5225D">
        <w:t xml:space="preserve">scolaire </w:t>
      </w:r>
      <w:r w:rsidR="00F77467">
        <w:t xml:space="preserve">2009-2010 et </w:t>
      </w:r>
      <w:r w:rsidR="00283FD1">
        <w:t>qu</w:t>
      </w:r>
      <w:r w:rsidR="008615F7">
        <w:t>’</w:t>
      </w:r>
      <w:r w:rsidR="00283FD1">
        <w:t>ils n</w:t>
      </w:r>
      <w:r w:rsidR="008615F7">
        <w:t>’</w:t>
      </w:r>
      <w:r w:rsidR="00283FD1">
        <w:t>ont</w:t>
      </w:r>
      <w:r w:rsidR="00F5225D">
        <w:t xml:space="preserve"> entrepris</w:t>
      </w:r>
      <w:r w:rsidR="00F77467">
        <w:t xml:space="preserve"> aucune démarche quant aux années scolaires précédentes</w:t>
      </w:r>
      <w:r w:rsidR="00283FD1">
        <w:t>. Il</w:t>
      </w:r>
      <w:r w:rsidR="00F5225D">
        <w:t xml:space="preserve"> en conclut </w:t>
      </w:r>
      <w:r w:rsidR="00E04203">
        <w:t xml:space="preserve">que la situation litigieuse ne peut pas passer pour </w:t>
      </w:r>
      <w:r w:rsidR="00F77467">
        <w:t>une situation continue.</w:t>
      </w:r>
    </w:p>
    <w:p w:rsidR="00D33176" w:rsidRPr="00C62874" w:rsidRDefault="009739BF" w:rsidP="00D33176">
      <w:pPr>
        <w:pStyle w:val="JuPara"/>
      </w:pPr>
      <w:r>
        <w:fldChar w:fldCharType="begin"/>
      </w:r>
      <w:r>
        <w:instrText xml:space="preserve"> SEQ level0 \*arabic </w:instrText>
      </w:r>
      <w:r>
        <w:fldChar w:fldCharType="separate"/>
      </w:r>
      <w:r w:rsidR="00554499">
        <w:rPr>
          <w:noProof/>
        </w:rPr>
        <w:t>41</w:t>
      </w:r>
      <w:r>
        <w:fldChar w:fldCharType="end"/>
      </w:r>
      <w:r>
        <w:t xml:space="preserve">.  Les requérants </w:t>
      </w:r>
      <w:r w:rsidR="00105E10">
        <w:t>considèrent</w:t>
      </w:r>
      <w:r w:rsidR="006D68DC">
        <w:t xml:space="preserve"> quant à eux</w:t>
      </w:r>
      <w:r w:rsidR="00105E10">
        <w:t xml:space="preserve"> que la présente affaire constitue un cas de violation continue et que, </w:t>
      </w:r>
      <w:r w:rsidR="006D68DC">
        <w:t>en tout état de cause</w:t>
      </w:r>
      <w:r w:rsidR="00105E10">
        <w:t>, l</w:t>
      </w:r>
      <w:r w:rsidR="006D68DC">
        <w:t>eur</w:t>
      </w:r>
      <w:r w:rsidR="00105E10">
        <w:t xml:space="preserve"> requête a</w:t>
      </w:r>
      <w:r w:rsidR="006D68DC">
        <w:t xml:space="preserve"> bien</w:t>
      </w:r>
      <w:r w:rsidR="00105E10">
        <w:t xml:space="preserve"> été introduite dans le délai de six mois : en septembre 2009, </w:t>
      </w:r>
      <w:r w:rsidR="00105E10" w:rsidRPr="00C62874">
        <w:t xml:space="preserve">ils </w:t>
      </w:r>
      <w:r w:rsidR="006D68DC" w:rsidRPr="00C62874">
        <w:t>auraient</w:t>
      </w:r>
      <w:r w:rsidR="00105E10" w:rsidRPr="00C62874">
        <w:t xml:space="preserve"> demandé au directeur de la 1</w:t>
      </w:r>
      <w:r w:rsidR="00105E10" w:rsidRPr="00C62874">
        <w:rPr>
          <w:vertAlign w:val="superscript"/>
        </w:rPr>
        <w:t>re</w:t>
      </w:r>
      <w:r w:rsidR="00105E10" w:rsidRPr="00C62874">
        <w:t xml:space="preserve"> école</w:t>
      </w:r>
      <w:r w:rsidR="00C62874" w:rsidRPr="00C62874">
        <w:t>, en s</w:t>
      </w:r>
      <w:r w:rsidR="008615F7">
        <w:t>’</w:t>
      </w:r>
      <w:r w:rsidR="00C62874" w:rsidRPr="00C62874">
        <w:t>appuyant sur l</w:t>
      </w:r>
      <w:r w:rsidR="008615F7">
        <w:t>’</w:t>
      </w:r>
      <w:r w:rsidR="00C62874" w:rsidRPr="00C62874">
        <w:t>article 8 du décret 201/1998,</w:t>
      </w:r>
      <w:r w:rsidR="00105E10" w:rsidRPr="00C62874">
        <w:t xml:space="preserve"> </w:t>
      </w:r>
      <w:r w:rsidR="006D68DC" w:rsidRPr="00C62874">
        <w:t>s</w:t>
      </w:r>
      <w:r w:rsidR="008615F7">
        <w:t>’</w:t>
      </w:r>
      <w:r w:rsidR="006D68DC" w:rsidRPr="00C62874">
        <w:t>ils pouvaient</w:t>
      </w:r>
      <w:r w:rsidR="00105E10" w:rsidRPr="00C62874">
        <w:t xml:space="preserve"> inscrire leurs enfants et </w:t>
      </w:r>
      <w:r w:rsidR="006D68DC" w:rsidRPr="00C62874">
        <w:t>si</w:t>
      </w:r>
      <w:r w:rsidR="00105E10" w:rsidRPr="00C62874">
        <w:t xml:space="preserve"> cette inscription pouvait </w:t>
      </w:r>
      <w:r w:rsidR="00C62874" w:rsidRPr="00C62874">
        <w:t>se faire</w:t>
      </w:r>
      <w:r w:rsidR="00105E10" w:rsidRPr="00C62874">
        <w:t xml:space="preserve"> tout au long de l</w:t>
      </w:r>
      <w:r w:rsidR="008615F7">
        <w:t>’</w:t>
      </w:r>
      <w:r w:rsidR="00105E10" w:rsidRPr="00C62874">
        <w:t>année scolaire</w:t>
      </w:r>
      <w:r w:rsidR="006D68DC" w:rsidRPr="00C62874">
        <w:t>. Ils ajoutent que</w:t>
      </w:r>
      <w:r w:rsidR="00105E10" w:rsidRPr="00C62874">
        <w:t xml:space="preserve"> des </w:t>
      </w:r>
      <w:r w:rsidR="00B732B3" w:rsidRPr="00C62874">
        <w:t xml:space="preserve">mesures </w:t>
      </w:r>
      <w:r w:rsidR="00105E10" w:rsidRPr="00C62874">
        <w:t>pour abolir la ségrégatio</w:t>
      </w:r>
      <w:r w:rsidR="00701183" w:rsidRPr="00C62874">
        <w:t>n</w:t>
      </w:r>
      <w:r w:rsidR="00105E10" w:rsidRPr="00C62874">
        <w:t xml:space="preserve"> régnant à la 4</w:t>
      </w:r>
      <w:r w:rsidR="00105E10" w:rsidRPr="00C62874">
        <w:rPr>
          <w:vertAlign w:val="superscript"/>
        </w:rPr>
        <w:t>e</w:t>
      </w:r>
      <w:r w:rsidR="00105E10" w:rsidRPr="00C62874">
        <w:t xml:space="preserve"> école </w:t>
      </w:r>
      <w:r w:rsidR="00C62874">
        <w:t xml:space="preserve">ont </w:t>
      </w:r>
      <w:r w:rsidR="006D68DC" w:rsidRPr="00C62874">
        <w:t>encore été prises</w:t>
      </w:r>
      <w:r w:rsidR="00105E10" w:rsidRPr="00C62874">
        <w:t xml:space="preserve"> le 23 décembre 2011.</w:t>
      </w:r>
    </w:p>
    <w:p w:rsidR="00701183" w:rsidRDefault="00701183" w:rsidP="00D33176">
      <w:pPr>
        <w:pStyle w:val="JuPara"/>
      </w:pPr>
      <w:r w:rsidRPr="00C62874">
        <w:fldChar w:fldCharType="begin"/>
      </w:r>
      <w:r w:rsidRPr="00C62874">
        <w:instrText xml:space="preserve"> SEQ level0 \*arabic </w:instrText>
      </w:r>
      <w:r w:rsidRPr="00C62874">
        <w:fldChar w:fldCharType="separate"/>
      </w:r>
      <w:r w:rsidR="00554499">
        <w:rPr>
          <w:noProof/>
        </w:rPr>
        <w:t>42</w:t>
      </w:r>
      <w:r w:rsidRPr="00C62874">
        <w:fldChar w:fldCharType="end"/>
      </w:r>
      <w:r w:rsidRPr="00C62874">
        <w:t xml:space="preserve">.  La Cour </w:t>
      </w:r>
      <w:r w:rsidR="00B732B3" w:rsidRPr="00C62874">
        <w:t>note que la date d</w:t>
      </w:r>
      <w:r w:rsidR="008615F7">
        <w:t>’</w:t>
      </w:r>
      <w:r w:rsidR="00B732B3" w:rsidRPr="00C62874">
        <w:t>introduction de la requête est le 7 janvier</w:t>
      </w:r>
      <w:r w:rsidR="00B732B3">
        <w:t xml:space="preserve"> 2010. Elle note aussi que</w:t>
      </w:r>
      <w:r w:rsidR="006D68DC">
        <w:t>,</w:t>
      </w:r>
      <w:r w:rsidR="00B732B3">
        <w:t xml:space="preserve"> le 20 juillet 2009, les requérants ont adressé au ministère de l</w:t>
      </w:r>
      <w:r w:rsidR="008615F7">
        <w:t>’</w:t>
      </w:r>
      <w:r w:rsidR="00B732B3">
        <w:t xml:space="preserve">Education </w:t>
      </w:r>
      <w:r w:rsidR="00BE3C64">
        <w:t xml:space="preserve">une lettre </w:t>
      </w:r>
      <w:r w:rsidR="00B732B3">
        <w:t>par laquelle ils attiraient l</w:t>
      </w:r>
      <w:r w:rsidR="008615F7">
        <w:t>’</w:t>
      </w:r>
      <w:r w:rsidR="00B732B3">
        <w:t>attention</w:t>
      </w:r>
      <w:r w:rsidR="00BE3C64">
        <w:t xml:space="preserve"> de </w:t>
      </w:r>
      <w:r w:rsidR="00BE3C64" w:rsidRPr="00B3193E">
        <w:t>celui-ci</w:t>
      </w:r>
      <w:r w:rsidR="00B732B3" w:rsidRPr="00B3193E">
        <w:t xml:space="preserve"> sur la </w:t>
      </w:r>
      <w:r w:rsidR="005C59BD" w:rsidRPr="00B3193E">
        <w:t xml:space="preserve">ségrégation ethnique </w:t>
      </w:r>
      <w:r w:rsidR="006D68DC" w:rsidRPr="00B3193E">
        <w:t>qui aurait cours</w:t>
      </w:r>
      <w:r w:rsidR="005C59BD" w:rsidRPr="00B3193E">
        <w:t xml:space="preserve"> </w:t>
      </w:r>
      <w:r w:rsidR="006D68DC" w:rsidRPr="00B3193E">
        <w:t>à</w:t>
      </w:r>
      <w:r w:rsidR="005C59BD" w:rsidRPr="00B3193E">
        <w:t xml:space="preserve"> la 4</w:t>
      </w:r>
      <w:r w:rsidR="005C59BD" w:rsidRPr="00B3193E">
        <w:rPr>
          <w:vertAlign w:val="superscript"/>
        </w:rPr>
        <w:t>e</w:t>
      </w:r>
      <w:r w:rsidR="005C59BD" w:rsidRPr="00B3193E">
        <w:t xml:space="preserve"> école de Sofades</w:t>
      </w:r>
      <w:r w:rsidR="006D68DC" w:rsidRPr="00B3193E">
        <w:t xml:space="preserve"> et</w:t>
      </w:r>
      <w:r w:rsidR="005C59BD" w:rsidRPr="00B3193E">
        <w:t xml:space="preserve"> qui violait</w:t>
      </w:r>
      <w:r w:rsidR="006D68DC" w:rsidRPr="00B3193E">
        <w:t>, à leurs yeux,</w:t>
      </w:r>
      <w:r w:rsidR="005C59BD" w:rsidRPr="00B3193E">
        <w:t xml:space="preserve"> tant la loi grecque que la Convention européenne des droits de l</w:t>
      </w:r>
      <w:r w:rsidR="008615F7">
        <w:t>’</w:t>
      </w:r>
      <w:r w:rsidR="005C59BD" w:rsidRPr="00B3193E">
        <w:t>homme</w:t>
      </w:r>
      <w:r w:rsidR="00BE3C64" w:rsidRPr="00B3193E">
        <w:t xml:space="preserve">, et </w:t>
      </w:r>
      <w:r w:rsidR="006D68DC" w:rsidRPr="00B3193E">
        <w:t xml:space="preserve">dans laquelle ils </w:t>
      </w:r>
      <w:r w:rsidR="00BE3C64" w:rsidRPr="00B3193E">
        <w:t>exprimaient leur souhait d</w:t>
      </w:r>
      <w:r w:rsidR="008615F7">
        <w:t>’</w:t>
      </w:r>
      <w:r w:rsidR="00BE3C64" w:rsidRPr="00B3193E">
        <w:t xml:space="preserve">inscrire </w:t>
      </w:r>
      <w:r w:rsidR="00B3193E" w:rsidRPr="00B3193E">
        <w:t xml:space="preserve">leurs enfants </w:t>
      </w:r>
      <w:r w:rsidR="00BE3C64" w:rsidRPr="00B3193E">
        <w:t>à la 1</w:t>
      </w:r>
      <w:r w:rsidR="00BE3C64" w:rsidRPr="00B3193E">
        <w:rPr>
          <w:vertAlign w:val="superscript"/>
        </w:rPr>
        <w:t>re</w:t>
      </w:r>
      <w:r w:rsidR="00BE3C64" w:rsidRPr="00B3193E">
        <w:t xml:space="preserve"> école et de ne plus </w:t>
      </w:r>
      <w:r w:rsidR="00B3193E" w:rsidRPr="00B3193E">
        <w:t>les voir fréquenter</w:t>
      </w:r>
      <w:r w:rsidR="00BE3C64" w:rsidRPr="00B3193E">
        <w:t xml:space="preserve"> des « écoles pour élèves gitans »</w:t>
      </w:r>
      <w:r w:rsidR="005C59BD" w:rsidRPr="00B3193E">
        <w:t>. Or</w:t>
      </w:r>
      <w:r w:rsidR="00B3193E">
        <w:t>, d</w:t>
      </w:r>
      <w:r w:rsidR="008615F7">
        <w:t>’</w:t>
      </w:r>
      <w:r w:rsidR="00B3193E">
        <w:t>après les éléments du dossier,</w:t>
      </w:r>
      <w:r w:rsidR="005C59BD" w:rsidRPr="00B3193E">
        <w:t xml:space="preserve"> cette lettre </w:t>
      </w:r>
      <w:r w:rsidR="00B3193E">
        <w:t>est</w:t>
      </w:r>
      <w:r w:rsidR="005C59BD" w:rsidRPr="00B3193E">
        <w:t xml:space="preserve"> restée sans réponse</w:t>
      </w:r>
      <w:r w:rsidR="00C54BBD">
        <w:t xml:space="preserve"> (tout comme les lettres du GHM des 30 mai, 20 juillet et 25 novembre 2009 et les lettres </w:t>
      </w:r>
      <w:r w:rsidR="00371925">
        <w:t>de la direction régionale de l</w:t>
      </w:r>
      <w:r w:rsidR="008615F7">
        <w:t>’</w:t>
      </w:r>
      <w:r w:rsidR="00371925">
        <w:t>éducation de Thessalie du 29 septembre 2009 et du Médiateur de la République du 15 décembre 2009)</w:t>
      </w:r>
      <w:r w:rsidR="005C59BD" w:rsidRPr="00B3193E">
        <w:t xml:space="preserve">. </w:t>
      </w:r>
      <w:r w:rsidR="006D68DC" w:rsidRPr="00B3193E">
        <w:t xml:space="preserve">La Cour souligne </w:t>
      </w:r>
      <w:r w:rsidR="00BE3C64" w:rsidRPr="00B3193E">
        <w:t xml:space="preserve">que </w:t>
      </w:r>
      <w:r w:rsidR="0025389D">
        <w:t xml:space="preserve">ces </w:t>
      </w:r>
      <w:r w:rsidR="00BE3C64" w:rsidRPr="00B3193E">
        <w:t>démarche</w:t>
      </w:r>
      <w:r w:rsidR="0025389D">
        <w:t>s</w:t>
      </w:r>
      <w:r w:rsidR="006D68DC" w:rsidRPr="00B3193E">
        <w:t>,</w:t>
      </w:r>
      <w:r w:rsidR="00BE3C64" w:rsidRPr="00B3193E">
        <w:t xml:space="preserve"> qui visai</w:t>
      </w:r>
      <w:r w:rsidR="0025389D">
        <w:t>en</w:t>
      </w:r>
      <w:r w:rsidR="00BE3C64" w:rsidRPr="00B3193E">
        <w:t>t à fa</w:t>
      </w:r>
      <w:r w:rsidR="0007641A" w:rsidRPr="00B3193E">
        <w:t xml:space="preserve">ire réagir les autorités et </w:t>
      </w:r>
      <w:r w:rsidR="006D68DC" w:rsidRPr="00B3193E">
        <w:t xml:space="preserve">à </w:t>
      </w:r>
      <w:r w:rsidR="0007641A" w:rsidRPr="00B3193E">
        <w:t>remé</w:t>
      </w:r>
      <w:r w:rsidR="00BE3C64" w:rsidRPr="00B3193E">
        <w:t xml:space="preserve">dier à la situation dont </w:t>
      </w:r>
      <w:r w:rsidR="00B3193E">
        <w:t>les requérants</w:t>
      </w:r>
      <w:r w:rsidR="00BE3C64" w:rsidRPr="00B3193E">
        <w:t xml:space="preserve"> se plaignent maintenant devant la Cour</w:t>
      </w:r>
      <w:r w:rsidR="006D68DC" w:rsidRPr="00B3193E">
        <w:t>,</w:t>
      </w:r>
      <w:r w:rsidR="0025389D">
        <w:t xml:space="preserve"> ont</w:t>
      </w:r>
      <w:r w:rsidR="00BE3C64" w:rsidRPr="00B3193E">
        <w:t xml:space="preserve"> </w:t>
      </w:r>
      <w:r w:rsidR="006D68DC" w:rsidRPr="00B3193E">
        <w:t>été</w:t>
      </w:r>
      <w:r w:rsidR="006D68DC">
        <w:t xml:space="preserve"> effectuée</w:t>
      </w:r>
      <w:r w:rsidR="00DD10B3">
        <w:t>s</w:t>
      </w:r>
      <w:r w:rsidR="006D68DC">
        <w:t xml:space="preserve"> </w:t>
      </w:r>
      <w:r w:rsidR="0025389D">
        <w:t xml:space="preserve">notamment </w:t>
      </w:r>
      <w:r w:rsidR="006D68DC">
        <w:t xml:space="preserve">par les </w:t>
      </w:r>
      <w:r w:rsidR="00B3193E">
        <w:t>intéressés</w:t>
      </w:r>
      <w:r w:rsidR="00BE3C64">
        <w:t xml:space="preserve"> dans le délai </w:t>
      </w:r>
      <w:r w:rsidR="00B3193E">
        <w:t>requis</w:t>
      </w:r>
      <w:r w:rsidR="00BE3C64">
        <w:t xml:space="preserve"> par l</w:t>
      </w:r>
      <w:r w:rsidR="008615F7">
        <w:t>’</w:t>
      </w:r>
      <w:r w:rsidR="00BE3C64">
        <w:t>article 35 § 1 de la Convention. Il convient donc de rejeter l</w:t>
      </w:r>
      <w:r w:rsidR="008615F7">
        <w:t>’</w:t>
      </w:r>
      <w:r w:rsidR="00BE3C64">
        <w:t>objection du Gouvernement sur ce point.</w:t>
      </w:r>
    </w:p>
    <w:p w:rsidR="00BC23D5" w:rsidRDefault="00BC23D5" w:rsidP="00BC23D5">
      <w:pPr>
        <w:pStyle w:val="JuHA"/>
      </w:pPr>
      <w:r>
        <w:t>B.  Non-épuisement des voies de recours internes</w:t>
      </w:r>
    </w:p>
    <w:p w:rsidR="00BC23D5" w:rsidRDefault="00EC3659" w:rsidP="00D33176">
      <w:pPr>
        <w:pStyle w:val="JuPara"/>
      </w:pPr>
      <w:r>
        <w:fldChar w:fldCharType="begin"/>
      </w:r>
      <w:r>
        <w:instrText xml:space="preserve"> SEQ level0 \*arabic </w:instrText>
      </w:r>
      <w:r>
        <w:fldChar w:fldCharType="separate"/>
      </w:r>
      <w:r w:rsidR="00554499">
        <w:rPr>
          <w:noProof/>
        </w:rPr>
        <w:t>43</w:t>
      </w:r>
      <w:r>
        <w:fldChar w:fldCharType="end"/>
      </w:r>
      <w:r>
        <w:t xml:space="preserve">.  Le Gouvernement </w:t>
      </w:r>
      <w:r w:rsidR="00B51021">
        <w:t xml:space="preserve">excipe </w:t>
      </w:r>
      <w:r w:rsidR="00127E6E">
        <w:t>également</w:t>
      </w:r>
      <w:r w:rsidR="00B51021">
        <w:t xml:space="preserve"> du non-épuisement des voies de recours internes par les requérants. Il soutient que l</w:t>
      </w:r>
      <w:r w:rsidR="008615F7">
        <w:t>’</w:t>
      </w:r>
      <w:r w:rsidR="00B51021">
        <w:t>acte de création de la 4</w:t>
      </w:r>
      <w:r w:rsidR="00B51021" w:rsidRPr="00B51021">
        <w:rPr>
          <w:vertAlign w:val="superscript"/>
        </w:rPr>
        <w:t>e</w:t>
      </w:r>
      <w:r w:rsidR="00127E6E">
        <w:t> </w:t>
      </w:r>
      <w:r w:rsidR="00B51021">
        <w:t>école</w:t>
      </w:r>
      <w:r w:rsidR="00B3193E">
        <w:t xml:space="preserve"> –</w:t>
      </w:r>
      <w:r w:rsidR="00B51021">
        <w:t xml:space="preserve"> le décret </w:t>
      </w:r>
      <w:r w:rsidR="00127E6E">
        <w:t>n</w:t>
      </w:r>
      <w:r w:rsidR="00127E6E" w:rsidRPr="00127E6E">
        <w:rPr>
          <w:vertAlign w:val="superscript"/>
        </w:rPr>
        <w:t>o</w:t>
      </w:r>
      <w:r w:rsidR="00127E6E">
        <w:t xml:space="preserve"> </w:t>
      </w:r>
      <w:r w:rsidR="00B51021">
        <w:t>146 du 30 septembre 1986</w:t>
      </w:r>
      <w:r w:rsidR="00B3193E">
        <w:t xml:space="preserve"> –</w:t>
      </w:r>
      <w:r w:rsidR="00B51021">
        <w:t xml:space="preserve"> ainsi que l</w:t>
      </w:r>
      <w:r w:rsidR="008615F7">
        <w:t>’</w:t>
      </w:r>
      <w:r w:rsidR="00B51021">
        <w:t xml:space="preserve">acte </w:t>
      </w:r>
      <w:r w:rsidR="000E71C7">
        <w:t>déterminant son secteur sur la carte scolaire</w:t>
      </w:r>
      <w:r w:rsidR="00B3193E">
        <w:t xml:space="preserve"> –</w:t>
      </w:r>
      <w:r w:rsidR="00B51021">
        <w:t xml:space="preserve"> la décision du 14 août 2008</w:t>
      </w:r>
      <w:r w:rsidR="00B3193E">
        <w:t xml:space="preserve"> –</w:t>
      </w:r>
      <w:r w:rsidR="00B51021">
        <w:t xml:space="preserve"> sont des actes administratifs exécutoires </w:t>
      </w:r>
      <w:r w:rsidR="00BE339D">
        <w:t>pouvant</w:t>
      </w:r>
      <w:r w:rsidR="00EE50E6">
        <w:t xml:space="preserve"> faire l</w:t>
      </w:r>
      <w:r w:rsidR="008615F7">
        <w:t>’</w:t>
      </w:r>
      <w:r w:rsidR="00EE50E6">
        <w:t>objet d</w:t>
      </w:r>
      <w:r w:rsidR="008615F7">
        <w:t>’</w:t>
      </w:r>
      <w:r w:rsidR="00EE50E6">
        <w:t xml:space="preserve">un recours en annulation devant les juridictions administratives </w:t>
      </w:r>
      <w:r w:rsidR="00BE339D">
        <w:t>en vertu de l</w:t>
      </w:r>
      <w:r w:rsidR="008615F7">
        <w:t>’</w:t>
      </w:r>
      <w:r w:rsidR="00EE50E6">
        <w:t>article 45</w:t>
      </w:r>
      <w:r w:rsidR="00EE50E6" w:rsidRPr="00B45563">
        <w:t xml:space="preserve"> du décret législatif n</w:t>
      </w:r>
      <w:r w:rsidR="00EE50E6" w:rsidRPr="00B45563">
        <w:rPr>
          <w:vertAlign w:val="superscript"/>
        </w:rPr>
        <w:t>o</w:t>
      </w:r>
      <w:r w:rsidR="00EE50E6" w:rsidRPr="00B45563">
        <w:t xml:space="preserve"> 18/1989</w:t>
      </w:r>
      <w:r w:rsidR="00EE50E6">
        <w:t xml:space="preserve"> lorsqu</w:t>
      </w:r>
      <w:r w:rsidR="008615F7">
        <w:t>’</w:t>
      </w:r>
      <w:r w:rsidR="00EE50E6">
        <w:t>ils méconnaissent la Constitution, les textes internationaux et les dispositions législatives.</w:t>
      </w:r>
    </w:p>
    <w:p w:rsidR="008D1CBA" w:rsidRPr="00DD195E" w:rsidRDefault="00602871" w:rsidP="00D33176">
      <w:pPr>
        <w:pStyle w:val="JuPara"/>
      </w:pPr>
      <w:r>
        <w:fldChar w:fldCharType="begin"/>
      </w:r>
      <w:r>
        <w:instrText xml:space="preserve"> SEQ level0 \*arabic </w:instrText>
      </w:r>
      <w:r>
        <w:fldChar w:fldCharType="separate"/>
      </w:r>
      <w:r w:rsidR="00554499">
        <w:rPr>
          <w:noProof/>
        </w:rPr>
        <w:t>44</w:t>
      </w:r>
      <w:r>
        <w:fldChar w:fldCharType="end"/>
      </w:r>
      <w:r>
        <w:t>.  </w:t>
      </w:r>
      <w:r w:rsidR="008D1CBA">
        <w:t>Le Gouvernement déclare ne pas perdre de vue qu</w:t>
      </w:r>
      <w:r w:rsidR="008615F7">
        <w:t>’</w:t>
      </w:r>
      <w:r w:rsidR="002B28F2">
        <w:t>à ce jour</w:t>
      </w:r>
      <w:r w:rsidR="008D1CBA">
        <w:t xml:space="preserve"> un recours en annulation contre l</w:t>
      </w:r>
      <w:r w:rsidR="008615F7">
        <w:t>’</w:t>
      </w:r>
      <w:r w:rsidR="008D1CBA">
        <w:t>acte de création de la 4</w:t>
      </w:r>
      <w:r w:rsidR="008D1CBA" w:rsidRPr="008D1CBA">
        <w:rPr>
          <w:vertAlign w:val="superscript"/>
        </w:rPr>
        <w:t>e</w:t>
      </w:r>
      <w:r w:rsidR="008D1CBA">
        <w:t xml:space="preserve"> école n</w:t>
      </w:r>
      <w:r w:rsidR="008615F7">
        <w:t>’</w:t>
      </w:r>
      <w:r w:rsidR="008D1CBA">
        <w:t xml:space="preserve">est plus </w:t>
      </w:r>
      <w:r w:rsidR="008D1CBA" w:rsidRPr="00BE339D">
        <w:t xml:space="preserve">possible, le délai à cet égard ayant expiré depuis longtemps. </w:t>
      </w:r>
      <w:r w:rsidR="001569EB" w:rsidRPr="00BE339D">
        <w:t xml:space="preserve">Il précise que, </w:t>
      </w:r>
      <w:r w:rsidR="008D1CBA" w:rsidRPr="00BE339D">
        <w:t>entre 1986 et 2009, aucun de</w:t>
      </w:r>
      <w:r w:rsidR="001569EB" w:rsidRPr="00BE339D">
        <w:t>s</w:t>
      </w:r>
      <w:r w:rsidR="008D1CBA" w:rsidRPr="00BE339D">
        <w:t xml:space="preserve"> élèves de cette école ne s</w:t>
      </w:r>
      <w:r w:rsidR="008615F7">
        <w:t>’</w:t>
      </w:r>
      <w:r w:rsidR="008D1CBA" w:rsidRPr="00BE339D">
        <w:t xml:space="preserve">est senti discriminé </w:t>
      </w:r>
      <w:r w:rsidR="00BE339D" w:rsidRPr="00BE339D">
        <w:t>et n</w:t>
      </w:r>
      <w:r w:rsidR="008615F7">
        <w:t>’</w:t>
      </w:r>
      <w:r w:rsidR="00BE339D" w:rsidRPr="00BE339D">
        <w:t>a</w:t>
      </w:r>
      <w:r w:rsidR="008D1CBA" w:rsidRPr="00BE339D">
        <w:t xml:space="preserve"> contest</w:t>
      </w:r>
      <w:r w:rsidR="00BE339D" w:rsidRPr="00BE339D">
        <w:t>é</w:t>
      </w:r>
      <w:r w:rsidR="008D1CBA" w:rsidRPr="00BE339D">
        <w:t xml:space="preserve"> la création de celle-ci. </w:t>
      </w:r>
      <w:r w:rsidR="00911A6B" w:rsidRPr="00BE339D">
        <w:t>Par ailleurs</w:t>
      </w:r>
      <w:r w:rsidR="008D1CBA" w:rsidRPr="00BE339D">
        <w:t xml:space="preserve">, </w:t>
      </w:r>
      <w:r w:rsidR="00911A6B" w:rsidRPr="00BE339D">
        <w:t xml:space="preserve">il considère que </w:t>
      </w:r>
      <w:r w:rsidR="008D1CBA" w:rsidRPr="00BE339D">
        <w:t>les</w:t>
      </w:r>
      <w:r w:rsidR="008D1CBA">
        <w:t xml:space="preserve"> requérants auraient pu contester l</w:t>
      </w:r>
      <w:r>
        <w:t xml:space="preserve">a décision </w:t>
      </w:r>
      <w:r w:rsidR="00234FE7">
        <w:t>délimitant la carte scolaire</w:t>
      </w:r>
      <w:r w:rsidR="008D1CBA">
        <w:t xml:space="preserve"> </w:t>
      </w:r>
      <w:r>
        <w:t xml:space="preserve">en </w:t>
      </w:r>
      <w:r w:rsidR="00911A6B">
        <w:t>dénonç</w:t>
      </w:r>
      <w:r>
        <w:t xml:space="preserve">ant le caractère discriminatoire de cette </w:t>
      </w:r>
      <w:r w:rsidR="00DD195E">
        <w:t xml:space="preserve">délimitation </w:t>
      </w:r>
      <w:r>
        <w:t xml:space="preserve">et </w:t>
      </w:r>
      <w:r w:rsidR="00911A6B">
        <w:t xml:space="preserve">une </w:t>
      </w:r>
      <w:r>
        <w:t>atteinte à leur droit à l</w:t>
      </w:r>
      <w:r w:rsidR="008615F7">
        <w:t>’</w:t>
      </w:r>
      <w:r>
        <w:t>instruction. Il</w:t>
      </w:r>
      <w:r w:rsidR="00911A6B">
        <w:t xml:space="preserve"> ajoute qu</w:t>
      </w:r>
      <w:r w:rsidR="008615F7">
        <w:t>’</w:t>
      </w:r>
      <w:r w:rsidR="00911A6B">
        <w:t>il</w:t>
      </w:r>
      <w:r>
        <w:t>s auraient pu aussi introduire un recours en annulation contre le refus allégué du directeur de la 1</w:t>
      </w:r>
      <w:r w:rsidRPr="00602871">
        <w:rPr>
          <w:vertAlign w:val="superscript"/>
        </w:rPr>
        <w:t>re</w:t>
      </w:r>
      <w:r>
        <w:t xml:space="preserve"> école primaire d</w:t>
      </w:r>
      <w:r w:rsidR="008615F7">
        <w:t>’</w:t>
      </w:r>
      <w:r>
        <w:t xml:space="preserve">inscrire </w:t>
      </w:r>
      <w:r w:rsidR="00DD195E">
        <w:t xml:space="preserve">les élèves requérants </w:t>
      </w:r>
      <w:r>
        <w:t xml:space="preserve">dans cette école. </w:t>
      </w:r>
      <w:r w:rsidR="00911A6B">
        <w:t>Selon le Gouvernement, l</w:t>
      </w:r>
      <w:r>
        <w:t>a lettre que le G</w:t>
      </w:r>
      <w:r w:rsidR="00911A6B">
        <w:t>HM</w:t>
      </w:r>
      <w:r>
        <w:t xml:space="preserve"> a envoyé</w:t>
      </w:r>
      <w:r w:rsidR="00911A6B">
        <w:t>e</w:t>
      </w:r>
      <w:r>
        <w:t xml:space="preserve"> au ministre de l</w:t>
      </w:r>
      <w:r w:rsidR="008615F7">
        <w:t>’</w:t>
      </w:r>
      <w:r>
        <w:t xml:space="preserve">Education le 20 juillet 2009 ne pouvait </w:t>
      </w:r>
      <w:r w:rsidR="00911A6B">
        <w:t>pas faire office de</w:t>
      </w:r>
      <w:r>
        <w:t xml:space="preserve"> recours en annulation ni </w:t>
      </w:r>
      <w:r w:rsidRPr="00DD195E">
        <w:t>dispenser les requérants de l</w:t>
      </w:r>
      <w:r w:rsidR="008615F7">
        <w:t>’</w:t>
      </w:r>
      <w:r w:rsidRPr="00DD195E">
        <w:t>obligation d</w:t>
      </w:r>
      <w:r w:rsidR="008615F7">
        <w:t>’</w:t>
      </w:r>
      <w:r w:rsidRPr="00DD195E">
        <w:t>épuiser</w:t>
      </w:r>
      <w:r w:rsidR="00DD195E" w:rsidRPr="00DD195E">
        <w:t xml:space="preserve"> les voies de recours internes</w:t>
      </w:r>
      <w:r w:rsidRPr="00DD195E">
        <w:t>.</w:t>
      </w:r>
    </w:p>
    <w:p w:rsidR="00302C67" w:rsidRDefault="00EC3659" w:rsidP="00D33176">
      <w:pPr>
        <w:pStyle w:val="JuPara"/>
      </w:pPr>
      <w:r w:rsidRPr="00DD195E">
        <w:fldChar w:fldCharType="begin"/>
      </w:r>
      <w:r w:rsidRPr="00DD195E">
        <w:instrText xml:space="preserve"> SEQ level0 \*arabic </w:instrText>
      </w:r>
      <w:r w:rsidRPr="00DD195E">
        <w:fldChar w:fldCharType="separate"/>
      </w:r>
      <w:r w:rsidR="00554499">
        <w:rPr>
          <w:noProof/>
        </w:rPr>
        <w:t>45</w:t>
      </w:r>
      <w:r w:rsidRPr="00DD195E">
        <w:fldChar w:fldCharType="end"/>
      </w:r>
      <w:r w:rsidRPr="00DD195E">
        <w:t>.  </w:t>
      </w:r>
      <w:r w:rsidR="00302C67" w:rsidRPr="00DD195E">
        <w:t>Les requérants soutiennent que le fonctionnement persistant</w:t>
      </w:r>
      <w:r w:rsidR="00302C67">
        <w:t xml:space="preserve"> d</w:t>
      </w:r>
      <w:r w:rsidR="008615F7">
        <w:t>’</w:t>
      </w:r>
      <w:r w:rsidR="00F76B90">
        <w:t>« </w:t>
      </w:r>
      <w:r w:rsidR="00302C67">
        <w:t>écoles</w:t>
      </w:r>
      <w:r w:rsidR="00F76B90">
        <w:t xml:space="preserve"> </w:t>
      </w:r>
      <w:r w:rsidR="00302C67">
        <w:t>ghettos</w:t>
      </w:r>
      <w:r w:rsidR="00F76B90">
        <w:t> »</w:t>
      </w:r>
      <w:r w:rsidR="00302C67">
        <w:t xml:space="preserve"> </w:t>
      </w:r>
      <w:r w:rsidR="008F7771">
        <w:t xml:space="preserve">constitue </w:t>
      </w:r>
      <w:r w:rsidR="00302C67">
        <w:t>un problème structurel</w:t>
      </w:r>
      <w:r w:rsidR="00A45F8E">
        <w:t>, et ils ajoutent, invoquant la jurisprudence de la Cour,</w:t>
      </w:r>
      <w:r w:rsidR="00302C67">
        <w:t xml:space="preserve"> </w:t>
      </w:r>
      <w:r w:rsidR="00A45F8E">
        <w:t>que cette situation</w:t>
      </w:r>
      <w:r w:rsidR="00302C67">
        <w:t xml:space="preserve"> </w:t>
      </w:r>
      <w:r w:rsidR="008F7771">
        <w:t xml:space="preserve">les </w:t>
      </w:r>
      <w:r w:rsidR="00302C67">
        <w:t>décharge de l</w:t>
      </w:r>
      <w:r w:rsidR="008615F7">
        <w:t>’</w:t>
      </w:r>
      <w:r w:rsidR="00302C67">
        <w:t>obligation d</w:t>
      </w:r>
      <w:r w:rsidR="008615F7">
        <w:t>’</w:t>
      </w:r>
      <w:r w:rsidR="00302C67">
        <w:t xml:space="preserve">épuiser les voies de recours internes. </w:t>
      </w:r>
      <w:r w:rsidR="00A45F8E">
        <w:t>A leurs yeux</w:t>
      </w:r>
      <w:r w:rsidR="00691CC7">
        <w:t>, m</w:t>
      </w:r>
      <w:r w:rsidR="00302C67">
        <w:t xml:space="preserve">ême si les recours mentionnés par le Gouvernement </w:t>
      </w:r>
      <w:r w:rsidR="00CC5C53">
        <w:t>pouvaient être considérés comme effectifs, ils ne pourraient pas régler la nature structurel</w:t>
      </w:r>
      <w:r w:rsidR="00A37DAB">
        <w:t>le</w:t>
      </w:r>
      <w:r w:rsidR="00CC5C53">
        <w:t xml:space="preserve"> du problème auquel ils sont confrontés.</w:t>
      </w:r>
      <w:r w:rsidR="00200CC2">
        <w:t xml:space="preserve"> </w:t>
      </w:r>
      <w:r w:rsidR="00691CC7">
        <w:t>Par ailleurs, l</w:t>
      </w:r>
      <w:r w:rsidR="00200CC2">
        <w:t xml:space="preserve">es </w:t>
      </w:r>
      <w:r w:rsidR="00691CC7">
        <w:t>intéressés</w:t>
      </w:r>
      <w:r w:rsidR="00200CC2">
        <w:t xml:space="preserve"> affirment qu</w:t>
      </w:r>
      <w:r w:rsidR="008615F7">
        <w:t>’</w:t>
      </w:r>
      <w:r w:rsidR="00200CC2">
        <w:t xml:space="preserve">ils ne cherchent pas à obtenir la </w:t>
      </w:r>
      <w:r w:rsidR="00691CC7">
        <w:t>fermeture</w:t>
      </w:r>
      <w:r w:rsidR="00200CC2">
        <w:t xml:space="preserve"> de la 4</w:t>
      </w:r>
      <w:r w:rsidR="00200CC2" w:rsidRPr="00200CC2">
        <w:rPr>
          <w:vertAlign w:val="superscript"/>
        </w:rPr>
        <w:t>e</w:t>
      </w:r>
      <w:r w:rsidR="00200CC2">
        <w:t xml:space="preserve"> école ni </w:t>
      </w:r>
      <w:r w:rsidR="00691CC7">
        <w:t>sa transformation</w:t>
      </w:r>
      <w:r w:rsidR="00200CC2">
        <w:t xml:space="preserve"> en une école pour minorités ethniques. De même, ils </w:t>
      </w:r>
      <w:r w:rsidR="00691CC7">
        <w:t xml:space="preserve">disent </w:t>
      </w:r>
      <w:r w:rsidR="00A45F8E">
        <w:t>qu</w:t>
      </w:r>
      <w:r w:rsidR="008615F7">
        <w:t>’</w:t>
      </w:r>
      <w:r w:rsidR="00A45F8E">
        <w:t>ils n</w:t>
      </w:r>
      <w:r w:rsidR="008615F7">
        <w:t>’</w:t>
      </w:r>
      <w:r w:rsidR="00A45F8E">
        <w:t>avaient</w:t>
      </w:r>
      <w:r w:rsidR="00691CC7">
        <w:t xml:space="preserve"> </w:t>
      </w:r>
      <w:r w:rsidR="00200CC2">
        <w:t>aucun intérêt à introduire un recours en annulation contre le refus d</w:t>
      </w:r>
      <w:r w:rsidR="008615F7">
        <w:t>’</w:t>
      </w:r>
      <w:r w:rsidR="008A778C">
        <w:t>inscrire leurs enfants</w:t>
      </w:r>
      <w:r w:rsidR="00200CC2">
        <w:t xml:space="preserve"> à la 1</w:t>
      </w:r>
      <w:r w:rsidR="00200CC2" w:rsidRPr="00200CC2">
        <w:rPr>
          <w:vertAlign w:val="superscript"/>
        </w:rPr>
        <w:t>re</w:t>
      </w:r>
      <w:r w:rsidR="00200CC2">
        <w:t xml:space="preserve"> école ou </w:t>
      </w:r>
      <w:r w:rsidR="008A778C">
        <w:t xml:space="preserve">un recours visant à </w:t>
      </w:r>
      <w:r w:rsidR="00691CC7">
        <w:t>une</w:t>
      </w:r>
      <w:r w:rsidR="00200CC2">
        <w:t xml:space="preserve"> modifi</w:t>
      </w:r>
      <w:r w:rsidR="00691CC7">
        <w:t xml:space="preserve">cation </w:t>
      </w:r>
      <w:r w:rsidR="00234FE7">
        <w:t>du secteur d</w:t>
      </w:r>
      <w:r w:rsidR="008615F7">
        <w:t>’</w:t>
      </w:r>
      <w:r w:rsidR="00234FE7">
        <w:t>affectation</w:t>
      </w:r>
      <w:r w:rsidR="00200CC2">
        <w:t xml:space="preserve"> de l</w:t>
      </w:r>
      <w:r w:rsidR="008615F7">
        <w:t>’</w:t>
      </w:r>
      <w:r w:rsidR="00200CC2">
        <w:t xml:space="preserve">école. Leur seul objectif </w:t>
      </w:r>
      <w:r w:rsidR="00691CC7">
        <w:t>aurait été</w:t>
      </w:r>
      <w:r w:rsidR="00200CC2">
        <w:t xml:space="preserve"> d</w:t>
      </w:r>
      <w:r w:rsidR="008615F7">
        <w:t>’</w:t>
      </w:r>
      <w:r w:rsidR="00200CC2">
        <w:t>attirer l</w:t>
      </w:r>
      <w:r w:rsidR="008615F7">
        <w:t>’</w:t>
      </w:r>
      <w:r w:rsidR="00200CC2">
        <w:t>attention des autorités sur leur volonté de fréquenter une école primaire</w:t>
      </w:r>
      <w:r>
        <w:t xml:space="preserve"> tolérant la mixité</w:t>
      </w:r>
      <w:r w:rsidR="00200CC2">
        <w:t>.</w:t>
      </w:r>
    </w:p>
    <w:p w:rsidR="00976B3D" w:rsidRDefault="00EC3659" w:rsidP="00D33176">
      <w:pPr>
        <w:pStyle w:val="JuPara"/>
      </w:pPr>
      <w:r>
        <w:fldChar w:fldCharType="begin"/>
      </w:r>
      <w:r>
        <w:instrText xml:space="preserve"> SEQ level0 \*arabic </w:instrText>
      </w:r>
      <w:r>
        <w:fldChar w:fldCharType="separate"/>
      </w:r>
      <w:r w:rsidR="00554499">
        <w:rPr>
          <w:noProof/>
        </w:rPr>
        <w:t>46</w:t>
      </w:r>
      <w:r>
        <w:fldChar w:fldCharType="end"/>
      </w:r>
      <w:r>
        <w:t>.  La Cour</w:t>
      </w:r>
      <w:r w:rsidR="00976B3D">
        <w:t xml:space="preserve"> rappelle que l</w:t>
      </w:r>
      <w:r w:rsidR="008615F7">
        <w:t>’</w:t>
      </w:r>
      <w:r w:rsidR="00976B3D">
        <w:t>article 35 § 1 de la Convention vise à ménager aux Etats contractants l</w:t>
      </w:r>
      <w:r w:rsidR="008615F7">
        <w:t>’</w:t>
      </w:r>
      <w:r w:rsidR="00976B3D">
        <w:t xml:space="preserve">occasion de prévenir ou </w:t>
      </w:r>
      <w:r w:rsidR="008A778C">
        <w:t xml:space="preserve">de </w:t>
      </w:r>
      <w:r w:rsidR="00976B3D">
        <w:t>redresser les violations alléguées contre eux avant que la Cour n</w:t>
      </w:r>
      <w:r w:rsidR="008615F7">
        <w:t>’</w:t>
      </w:r>
      <w:r w:rsidR="00976B3D">
        <w:t>en soit saisie. Cette disposition ne prescrit toutefois l</w:t>
      </w:r>
      <w:r w:rsidR="008615F7">
        <w:t>’</w:t>
      </w:r>
      <w:r w:rsidR="00976B3D">
        <w:t>épuisement que des recours effectifs et disponibles, c</w:t>
      </w:r>
      <w:r w:rsidR="008615F7">
        <w:t>’</w:t>
      </w:r>
      <w:r w:rsidR="00976B3D">
        <w:t>est-à-dire existant à un degré suffisant de certitude et aptes à redresser directement les violations alléguées de la Convention. Un requérant ne peut être considéré comme n</w:t>
      </w:r>
      <w:r w:rsidR="008615F7">
        <w:t>’</w:t>
      </w:r>
      <w:r w:rsidR="00976B3D">
        <w:t>ayant pas épuisé les voies de recours internes s</w:t>
      </w:r>
      <w:r w:rsidR="008615F7">
        <w:t>’</w:t>
      </w:r>
      <w:r w:rsidR="00976B3D">
        <w:t>il peut démontrer, en produisant des décisions internes ou d</w:t>
      </w:r>
      <w:r w:rsidR="008615F7">
        <w:t>’</w:t>
      </w:r>
      <w:r w:rsidR="00976B3D">
        <w:t>autres preuves pertinentes, qu</w:t>
      </w:r>
      <w:r w:rsidR="008615F7">
        <w:t>’</w:t>
      </w:r>
      <w:r w:rsidR="00976B3D">
        <w:t>un recours disponible qu</w:t>
      </w:r>
      <w:r w:rsidR="008615F7">
        <w:t>’</w:t>
      </w:r>
      <w:r w:rsidR="00976B3D">
        <w:t>il n</w:t>
      </w:r>
      <w:r w:rsidR="008615F7">
        <w:t>’</w:t>
      </w:r>
      <w:r w:rsidR="00976B3D">
        <w:t>a pas exercé était voué à l</w:t>
      </w:r>
      <w:r w:rsidR="008615F7">
        <w:t>’</w:t>
      </w:r>
      <w:r w:rsidR="00976B3D">
        <w:t>échec (</w:t>
      </w:r>
      <w:r w:rsidR="00976B3D">
        <w:rPr>
          <w:i/>
        </w:rPr>
        <w:t xml:space="preserve">Kleyn et autres c. Pays-Bas </w:t>
      </w:r>
      <w:r w:rsidR="00976B3D">
        <w:t>[GC],</w:t>
      </w:r>
      <w:r w:rsidR="00976B3D">
        <w:rPr>
          <w:i/>
        </w:rPr>
        <w:t xml:space="preserve"> </w:t>
      </w:r>
      <w:r w:rsidR="00976B3D">
        <w:t>n</w:t>
      </w:r>
      <w:r w:rsidR="00976B3D">
        <w:rPr>
          <w:vertAlign w:val="superscript"/>
        </w:rPr>
        <w:t>os</w:t>
      </w:r>
      <w:r w:rsidR="00976B3D">
        <w:t xml:space="preserve"> 39343/98, 39651/98, </w:t>
      </w:r>
      <w:r w:rsidR="00976B3D" w:rsidRPr="005A0B5A">
        <w:t>43147/98 et</w:t>
      </w:r>
      <w:r w:rsidR="00976B3D">
        <w:t xml:space="preserve"> 46664/99, § 156, CEDH 2003-VI</w:t>
      </w:r>
      <w:r w:rsidR="00976B3D" w:rsidRPr="005A0B5A">
        <w:t>)</w:t>
      </w:r>
      <w:r w:rsidR="00976B3D">
        <w:t>.</w:t>
      </w:r>
    </w:p>
    <w:p w:rsidR="000F6FD5" w:rsidRDefault="004F2349" w:rsidP="00D33176">
      <w:pPr>
        <w:pStyle w:val="JuPara"/>
      </w:pPr>
      <w:r>
        <w:fldChar w:fldCharType="begin"/>
      </w:r>
      <w:r>
        <w:instrText xml:space="preserve"> SEQ level0 \*arabic </w:instrText>
      </w:r>
      <w:r>
        <w:fldChar w:fldCharType="separate"/>
      </w:r>
      <w:r w:rsidR="00554499">
        <w:rPr>
          <w:noProof/>
        </w:rPr>
        <w:t>47</w:t>
      </w:r>
      <w:r>
        <w:fldChar w:fldCharType="end"/>
      </w:r>
      <w:r>
        <w:t>.  </w:t>
      </w:r>
      <w:r w:rsidR="005B50B3">
        <w:t>En l</w:t>
      </w:r>
      <w:r w:rsidR="008615F7">
        <w:t>’</w:t>
      </w:r>
      <w:r w:rsidR="005B50B3">
        <w:t>espèce, l</w:t>
      </w:r>
      <w:r>
        <w:t>a Cour</w:t>
      </w:r>
      <w:r w:rsidR="00D772C9">
        <w:t xml:space="preserve"> note d</w:t>
      </w:r>
      <w:r w:rsidR="008615F7">
        <w:t>’</w:t>
      </w:r>
      <w:r w:rsidR="00D772C9">
        <w:t xml:space="preserve">emblée que contrairement aux affirmations du Gouvernement, les requérants ou leur représentant ne se sont pas limités à envoyer une seule lettre aux autorités mais en tout trois lettres (paragraphe </w:t>
      </w:r>
      <w:r w:rsidR="00DD13A7">
        <w:t>42 ci-dessus)</w:t>
      </w:r>
      <w:r w:rsidR="00D772C9">
        <w:t>. De surcroît, la direction régionale de l</w:t>
      </w:r>
      <w:r w:rsidR="008615F7">
        <w:t>’</w:t>
      </w:r>
      <w:r w:rsidR="00D772C9">
        <w:t>éducation de Thessalie et le Médiateur de la République ont également attiré l</w:t>
      </w:r>
      <w:r w:rsidR="008615F7">
        <w:t>’</w:t>
      </w:r>
      <w:r w:rsidR="00D772C9">
        <w:t xml:space="preserve">attention du ministère sur la situation des requérants. </w:t>
      </w:r>
      <w:r w:rsidR="004E5C9C">
        <w:t>Or, rien n</w:t>
      </w:r>
      <w:r w:rsidR="008615F7">
        <w:t>’</w:t>
      </w:r>
      <w:r w:rsidR="004E5C9C">
        <w:t xml:space="preserve">a été entrepris à la suite de ces lettres. </w:t>
      </w:r>
      <w:r w:rsidR="00D772C9">
        <w:t>La Cour</w:t>
      </w:r>
      <w:r>
        <w:t xml:space="preserve"> note</w:t>
      </w:r>
      <w:r w:rsidR="00D772C9">
        <w:t xml:space="preserve"> aussi</w:t>
      </w:r>
      <w:r>
        <w:t xml:space="preserve"> que le grief des requérants porte sur</w:t>
      </w:r>
      <w:r w:rsidR="008A778C">
        <w:t xml:space="preserve"> le</w:t>
      </w:r>
      <w:r>
        <w:t xml:space="preserve"> caractère ségrégationniste</w:t>
      </w:r>
      <w:r w:rsidR="008A778C">
        <w:t>, selon les intéressés,</w:t>
      </w:r>
      <w:r>
        <w:t xml:space="preserve"> de la 4</w:t>
      </w:r>
      <w:r w:rsidRPr="004F2349">
        <w:rPr>
          <w:vertAlign w:val="superscript"/>
        </w:rPr>
        <w:t>e</w:t>
      </w:r>
      <w:r>
        <w:t xml:space="preserve"> école. Elle note aussi que les dispositions de la législation interne en la matière et la pratique interne, telle qu</w:t>
      </w:r>
      <w:r w:rsidR="008615F7">
        <w:t>’</w:t>
      </w:r>
      <w:r>
        <w:t>indiquée dans les différentes circulaires du ministère de l</w:t>
      </w:r>
      <w:r w:rsidR="008615F7">
        <w:t>’</w:t>
      </w:r>
      <w:r>
        <w:t>Education</w:t>
      </w:r>
      <w:r w:rsidR="007A2000">
        <w:t>, notamment la circulaire 11684/</w:t>
      </w:r>
      <w:r w:rsidR="007A2000" w:rsidRPr="00B45563">
        <w:t>/</w:t>
      </w:r>
      <w:r w:rsidR="007A2000" w:rsidRPr="00D75925">
        <w:t>Γ</w:t>
      </w:r>
      <w:r w:rsidR="007A2000">
        <w:t xml:space="preserve">1/10.09.2008 </w:t>
      </w:r>
      <w:r w:rsidR="001E57C4">
        <w:t>(paragraphes 25-27 ci-dessus)</w:t>
      </w:r>
      <w:r>
        <w:t xml:space="preserve">, </w:t>
      </w:r>
      <w:r w:rsidR="0027163F">
        <w:t xml:space="preserve">prévoient la possibilité de </w:t>
      </w:r>
      <w:r w:rsidR="005B50B3" w:rsidRPr="00A512CC">
        <w:t xml:space="preserve">répartir </w:t>
      </w:r>
      <w:r w:rsidR="0027163F" w:rsidRPr="00A512CC">
        <w:t>les élèves de la 4</w:t>
      </w:r>
      <w:r w:rsidR="0027163F" w:rsidRPr="00A512CC">
        <w:rPr>
          <w:vertAlign w:val="superscript"/>
        </w:rPr>
        <w:t>e</w:t>
      </w:r>
      <w:r w:rsidR="0027163F" w:rsidRPr="00A512CC">
        <w:t xml:space="preserve"> école, dont les </w:t>
      </w:r>
      <w:r w:rsidR="00A512CC" w:rsidRPr="00A512CC">
        <w:t xml:space="preserve">élèves </w:t>
      </w:r>
      <w:r w:rsidR="0027163F" w:rsidRPr="00A512CC">
        <w:t>requérants, dans les autres</w:t>
      </w:r>
      <w:r w:rsidR="0027163F">
        <w:t xml:space="preserve"> écoles de la commune de Sofades. Il ressort des faits de la cause que le ministère de l</w:t>
      </w:r>
      <w:r w:rsidR="008615F7">
        <w:t>’</w:t>
      </w:r>
      <w:r w:rsidR="0027163F">
        <w:t xml:space="preserve">Education </w:t>
      </w:r>
      <w:r w:rsidR="00A512CC">
        <w:t>a</w:t>
      </w:r>
      <w:r w:rsidR="0027163F">
        <w:t xml:space="preserve"> reconnu</w:t>
      </w:r>
      <w:r w:rsidR="00D35566">
        <w:t>,</w:t>
      </w:r>
      <w:r w:rsidR="0027163F">
        <w:t xml:space="preserve"> </w:t>
      </w:r>
      <w:r w:rsidR="007A2000">
        <w:t>dès 2008</w:t>
      </w:r>
      <w:r w:rsidR="00D35566">
        <w:t>,</w:t>
      </w:r>
      <w:r w:rsidR="007A2000">
        <w:t xml:space="preserve"> </w:t>
      </w:r>
      <w:r w:rsidR="0027163F">
        <w:t>la nécessité d</w:t>
      </w:r>
      <w:r w:rsidR="008615F7">
        <w:t>’</w:t>
      </w:r>
      <w:r w:rsidR="0027163F">
        <w:t xml:space="preserve">une politique antiségrégationniste à Sofades et </w:t>
      </w:r>
      <w:r w:rsidR="00A512CC">
        <w:t>qu</w:t>
      </w:r>
      <w:r w:rsidR="008615F7">
        <w:t>’</w:t>
      </w:r>
      <w:r w:rsidR="00A512CC">
        <w:t>il a</w:t>
      </w:r>
      <w:r w:rsidR="0027163F">
        <w:t xml:space="preserve"> co</w:t>
      </w:r>
      <w:r w:rsidR="00A512CC">
        <w:t>nçu</w:t>
      </w:r>
      <w:r w:rsidR="0027163F">
        <w:t xml:space="preserve"> des mesures en ce sens.</w:t>
      </w:r>
      <w:r w:rsidR="00135BAC">
        <w:t xml:space="preserve"> Toutefois, </w:t>
      </w:r>
      <w:r w:rsidR="007E4F22">
        <w:t xml:space="preserve">il apparaît clairement que </w:t>
      </w:r>
      <w:r w:rsidR="00135BAC">
        <w:t>ces mesures n</w:t>
      </w:r>
      <w:r w:rsidR="008615F7">
        <w:t>’</w:t>
      </w:r>
      <w:r w:rsidR="00135BAC">
        <w:t>ont pas pu être mises en œuvre</w:t>
      </w:r>
      <w:r w:rsidR="00AC427A">
        <w:t xml:space="preserve"> en raison de l</w:t>
      </w:r>
      <w:r w:rsidR="008615F7">
        <w:t>’</w:t>
      </w:r>
      <w:r w:rsidR="00AC427A">
        <w:t>opposition manifestée par la société locale</w:t>
      </w:r>
      <w:r w:rsidR="00135BAC">
        <w:t>.</w:t>
      </w:r>
    </w:p>
    <w:p w:rsidR="00135BAC" w:rsidRDefault="00135BAC" w:rsidP="00D33176">
      <w:pPr>
        <w:pStyle w:val="JuPara"/>
      </w:pPr>
      <w:r>
        <w:fldChar w:fldCharType="begin"/>
      </w:r>
      <w:r>
        <w:instrText xml:space="preserve"> SEQ level0 \*arabic </w:instrText>
      </w:r>
      <w:r>
        <w:fldChar w:fldCharType="separate"/>
      </w:r>
      <w:r w:rsidR="00554499">
        <w:rPr>
          <w:noProof/>
        </w:rPr>
        <w:t>48</w:t>
      </w:r>
      <w:r>
        <w:fldChar w:fldCharType="end"/>
      </w:r>
      <w:r>
        <w:t>.  La Cour n</w:t>
      </w:r>
      <w:r w:rsidR="008615F7">
        <w:t>’</w:t>
      </w:r>
      <w:r>
        <w:t>aperçoit pas en quoi un arrêt d</w:t>
      </w:r>
      <w:r w:rsidR="008615F7">
        <w:t>’</w:t>
      </w:r>
      <w:r>
        <w:t>une juridiction administrative, à supposer même qu</w:t>
      </w:r>
      <w:r w:rsidR="008615F7">
        <w:t>’</w:t>
      </w:r>
      <w:r w:rsidR="005B50B3">
        <w:t>il</w:t>
      </w:r>
      <w:r>
        <w:t xml:space="preserve"> eût été favorable aux requérants, aurait permis d</w:t>
      </w:r>
      <w:r w:rsidR="008615F7">
        <w:t>’</w:t>
      </w:r>
      <w:r>
        <w:t>arriver à un résultat conforme aux attentes de ceux-ci. En effet, une décision judiciaire nécessite son exécution par l</w:t>
      </w:r>
      <w:r w:rsidR="008615F7">
        <w:t>’</w:t>
      </w:r>
      <w:r>
        <w:t>administration et la Cour considère, eu égard aux faits de la cause</w:t>
      </w:r>
      <w:r w:rsidR="007601C1">
        <w:t>, que les autorités se seraient retrouvées dans la même impasse que celle qui fait maintenant l</w:t>
      </w:r>
      <w:r w:rsidR="008615F7">
        <w:t>’</w:t>
      </w:r>
      <w:r w:rsidR="007601C1">
        <w:t>objet de son examen.</w:t>
      </w:r>
      <w:r w:rsidR="003A1510">
        <w:t xml:space="preserve"> </w:t>
      </w:r>
      <w:r w:rsidR="00457836">
        <w:t>Elle</w:t>
      </w:r>
      <w:r w:rsidR="003A1510">
        <w:t xml:space="preserve"> rel</w:t>
      </w:r>
      <w:r w:rsidR="00457836">
        <w:t>ève aussi</w:t>
      </w:r>
      <w:r w:rsidR="003A1510">
        <w:t xml:space="preserve"> que les exemples d</w:t>
      </w:r>
      <w:r w:rsidR="008615F7">
        <w:t>’</w:t>
      </w:r>
      <w:r w:rsidR="003A1510">
        <w:t xml:space="preserve">arrêts déposés par le Gouvernement pour démontrer que des actes </w:t>
      </w:r>
      <w:r w:rsidR="00825A45">
        <w:t>administratifs, adoptés en application de la législation en matière d</w:t>
      </w:r>
      <w:r w:rsidR="008615F7">
        <w:t>’</w:t>
      </w:r>
      <w:r w:rsidR="00825A45">
        <w:t>instruction, sont susceptibles d</w:t>
      </w:r>
      <w:r w:rsidR="008615F7">
        <w:t>’</w:t>
      </w:r>
      <w:r w:rsidR="00825A45">
        <w:t>un recours en annulation concernent des cas individuel</w:t>
      </w:r>
      <w:r w:rsidR="002768C1">
        <w:t>s</w:t>
      </w:r>
      <w:r w:rsidR="00825A45">
        <w:t xml:space="preserve"> d</w:t>
      </w:r>
      <w:r w:rsidR="008615F7">
        <w:t>’</w:t>
      </w:r>
      <w:r w:rsidR="00825A45">
        <w:t>un type différent de ce</w:t>
      </w:r>
      <w:r w:rsidR="00296720">
        <w:t>lui en cause</w:t>
      </w:r>
      <w:r w:rsidR="00825A45">
        <w:t xml:space="preserve"> en l</w:t>
      </w:r>
      <w:r w:rsidR="008615F7">
        <w:t>’</w:t>
      </w:r>
      <w:r w:rsidR="00825A45">
        <w:t>espèce.</w:t>
      </w:r>
    </w:p>
    <w:p w:rsidR="000F6FD5" w:rsidRDefault="007601C1" w:rsidP="00D33176">
      <w:pPr>
        <w:pStyle w:val="JuPara"/>
      </w:pPr>
      <w:r>
        <w:fldChar w:fldCharType="begin"/>
      </w:r>
      <w:r>
        <w:instrText xml:space="preserve"> SEQ level0 \*arabic </w:instrText>
      </w:r>
      <w:r>
        <w:fldChar w:fldCharType="separate"/>
      </w:r>
      <w:r w:rsidR="00554499">
        <w:rPr>
          <w:noProof/>
        </w:rPr>
        <w:t>49</w:t>
      </w:r>
      <w:r>
        <w:fldChar w:fldCharType="end"/>
      </w:r>
      <w:r>
        <w:t xml:space="preserve">.  Par conséquent, la Cour estime que les recours en annulation mentionnés par le Gouvernement </w:t>
      </w:r>
      <w:r w:rsidR="003A1510">
        <w:t>n</w:t>
      </w:r>
      <w:r w:rsidR="008615F7">
        <w:t>’</w:t>
      </w:r>
      <w:r w:rsidR="003A1510">
        <w:t>auraient pas eu en l</w:t>
      </w:r>
      <w:r w:rsidR="008615F7">
        <w:t>’</w:t>
      </w:r>
      <w:r w:rsidR="003A1510">
        <w:t>espèce une chance de succès</w:t>
      </w:r>
      <w:r w:rsidR="00825A45">
        <w:t xml:space="preserve"> mérit</w:t>
      </w:r>
      <w:r w:rsidR="005B50B3">
        <w:t>ant qu</w:t>
      </w:r>
      <w:r w:rsidR="008615F7">
        <w:t>’</w:t>
      </w:r>
      <w:r w:rsidR="005B50B3">
        <w:t>ils fussent</w:t>
      </w:r>
      <w:r w:rsidR="00825A45">
        <w:t xml:space="preserve"> tentés. </w:t>
      </w:r>
      <w:r w:rsidR="005B50B3">
        <w:t>Dès lors, l</w:t>
      </w:r>
      <w:r w:rsidR="00825A45">
        <w:t>a Cour rejette l</w:t>
      </w:r>
      <w:r w:rsidR="008615F7">
        <w:t>’</w:t>
      </w:r>
      <w:r w:rsidR="00825A45">
        <w:t xml:space="preserve">exception </w:t>
      </w:r>
      <w:r w:rsidR="00296720">
        <w:t>soulevée par le Gouvernement</w:t>
      </w:r>
      <w:r w:rsidR="00825A45">
        <w:t>.</w:t>
      </w:r>
    </w:p>
    <w:p w:rsidR="00423D5E" w:rsidRDefault="00BE3C64" w:rsidP="00BC6624">
      <w:pPr>
        <w:pStyle w:val="JuHA"/>
      </w:pPr>
      <w:r>
        <w:t>C.  </w:t>
      </w:r>
      <w:r w:rsidR="00423D5E">
        <w:t>Absence de la qualité de victime</w:t>
      </w:r>
    </w:p>
    <w:p w:rsidR="00423D5E" w:rsidRDefault="00BC6624" w:rsidP="00D33176">
      <w:pPr>
        <w:pStyle w:val="JuPara"/>
      </w:pPr>
      <w:r>
        <w:fldChar w:fldCharType="begin"/>
      </w:r>
      <w:r>
        <w:instrText xml:space="preserve"> SEQ level0 \*arabic </w:instrText>
      </w:r>
      <w:r>
        <w:fldChar w:fldCharType="separate"/>
      </w:r>
      <w:r w:rsidR="00554499">
        <w:rPr>
          <w:noProof/>
        </w:rPr>
        <w:t>50</w:t>
      </w:r>
      <w:r>
        <w:fldChar w:fldCharType="end"/>
      </w:r>
      <w:r>
        <w:t>.  </w:t>
      </w:r>
      <w:r w:rsidR="002529DB">
        <w:t xml:space="preserve">Le Gouvernement </w:t>
      </w:r>
      <w:r w:rsidR="000D563C">
        <w:t>soutient que</w:t>
      </w:r>
      <w:r w:rsidR="002529DB">
        <w:t xml:space="preserve"> les élèves requérants prétendument lésés par l</w:t>
      </w:r>
      <w:r w:rsidR="008615F7">
        <w:t>’</w:t>
      </w:r>
      <w:r w:rsidR="002529DB">
        <w:t>attitude de l</w:t>
      </w:r>
      <w:r w:rsidR="008615F7">
        <w:t>’</w:t>
      </w:r>
      <w:r w:rsidR="002529DB">
        <w:t>Etat et les adultes exer</w:t>
      </w:r>
      <w:r w:rsidR="00E56775">
        <w:t xml:space="preserve">çant </w:t>
      </w:r>
      <w:r w:rsidR="000D563C">
        <w:t xml:space="preserve">sur eux </w:t>
      </w:r>
      <w:r w:rsidR="00E56775">
        <w:t>l</w:t>
      </w:r>
      <w:r w:rsidR="008615F7">
        <w:t>’</w:t>
      </w:r>
      <w:r w:rsidR="00E56775">
        <w:t xml:space="preserve">autorité parentale ne peuvent </w:t>
      </w:r>
      <w:r w:rsidR="000D563C">
        <w:t xml:space="preserve">en aucun cas </w:t>
      </w:r>
      <w:r w:rsidR="00E56775">
        <w:t>être requérants de manière cumulative.</w:t>
      </w:r>
    </w:p>
    <w:p w:rsidR="00E56775" w:rsidRDefault="0047522D" w:rsidP="00D33176">
      <w:pPr>
        <w:pStyle w:val="JuPara"/>
      </w:pPr>
      <w:r>
        <w:fldChar w:fldCharType="begin"/>
      </w:r>
      <w:r>
        <w:instrText xml:space="preserve"> SEQ level0 \*arabic </w:instrText>
      </w:r>
      <w:r>
        <w:fldChar w:fldCharType="separate"/>
      </w:r>
      <w:r w:rsidR="00554499">
        <w:rPr>
          <w:noProof/>
        </w:rPr>
        <w:t>51</w:t>
      </w:r>
      <w:r>
        <w:fldChar w:fldCharType="end"/>
      </w:r>
      <w:r>
        <w:t xml:space="preserve">.  Les requérants ne présentent </w:t>
      </w:r>
      <w:r w:rsidR="000D563C">
        <w:t xml:space="preserve">aucune </w:t>
      </w:r>
      <w:r>
        <w:t>observation sur ce point.</w:t>
      </w:r>
    </w:p>
    <w:p w:rsidR="003A2004" w:rsidRDefault="0047522D" w:rsidP="003A2004">
      <w:pPr>
        <w:pStyle w:val="JuPara"/>
        <w:rPr>
          <w:rStyle w:val="sb8d990e2"/>
        </w:rPr>
      </w:pPr>
      <w:r>
        <w:fldChar w:fldCharType="begin"/>
      </w:r>
      <w:r>
        <w:instrText xml:space="preserve"> SEQ level0 \*arabic </w:instrText>
      </w:r>
      <w:r>
        <w:fldChar w:fldCharType="separate"/>
      </w:r>
      <w:r w:rsidR="00554499">
        <w:rPr>
          <w:noProof/>
        </w:rPr>
        <w:t>52</w:t>
      </w:r>
      <w:r>
        <w:fldChar w:fldCharType="end"/>
      </w:r>
      <w:r>
        <w:t>.  </w:t>
      </w:r>
      <w:r w:rsidR="003A2004">
        <w:t>La Cour considère la distinction faite par le Gouvernement comme non pertinente en l</w:t>
      </w:r>
      <w:r w:rsidR="008615F7">
        <w:t>’</w:t>
      </w:r>
      <w:r w:rsidR="003A2004">
        <w:t>espèce. En effet, elle a reconnu la qualité de « victime » tant à des requérants mineurs placés dans des situations similaires à celles des requérants de l</w:t>
      </w:r>
      <w:r w:rsidR="008615F7">
        <w:t>’</w:t>
      </w:r>
      <w:r w:rsidR="003A2004">
        <w:t>espèce</w:t>
      </w:r>
      <w:r w:rsidR="000D563C">
        <w:t xml:space="preserve"> (</w:t>
      </w:r>
      <w:r w:rsidR="003A2004" w:rsidRPr="00772280">
        <w:rPr>
          <w:rStyle w:val="s6b621b36"/>
          <w:i/>
        </w:rPr>
        <w:t>D.H. et autres c. République tchèque</w:t>
      </w:r>
      <w:r w:rsidR="003A2004">
        <w:rPr>
          <w:rStyle w:val="s6b621b36"/>
        </w:rPr>
        <w:t xml:space="preserve"> </w:t>
      </w:r>
      <w:r w:rsidR="003A2004">
        <w:rPr>
          <w:rStyle w:val="sb8d990e2"/>
        </w:rPr>
        <w:t>[GC], n</w:t>
      </w:r>
      <w:r w:rsidR="003A2004" w:rsidRPr="00425F61">
        <w:rPr>
          <w:rStyle w:val="sea881cdf"/>
          <w:vertAlign w:val="superscript"/>
        </w:rPr>
        <w:t>o</w:t>
      </w:r>
      <w:r w:rsidR="003A2004">
        <w:rPr>
          <w:rStyle w:val="sb8d990e2"/>
        </w:rPr>
        <w:t> 57325/00, CEDH 2007-XII</w:t>
      </w:r>
      <w:r w:rsidR="000D563C">
        <w:rPr>
          <w:rStyle w:val="sb8d990e2"/>
        </w:rPr>
        <w:t>,</w:t>
      </w:r>
      <w:r w:rsidR="003A2004">
        <w:rPr>
          <w:rStyle w:val="sb8d990e2"/>
        </w:rPr>
        <w:t xml:space="preserve"> et</w:t>
      </w:r>
      <w:r w:rsidR="003A2004">
        <w:t xml:space="preserve"> </w:t>
      </w:r>
      <w:r w:rsidR="003A2004" w:rsidRPr="00772280">
        <w:rPr>
          <w:rStyle w:val="s7d2086b4"/>
          <w:i/>
        </w:rPr>
        <w:t>Oršuš et autres c. Croatie</w:t>
      </w:r>
      <w:r w:rsidR="003A2004">
        <w:rPr>
          <w:rStyle w:val="s7d2086b4"/>
        </w:rPr>
        <w:t xml:space="preserve"> [GC], n</w:t>
      </w:r>
      <w:r w:rsidR="003759D8" w:rsidRPr="003759D8">
        <w:rPr>
          <w:rStyle w:val="s7d2086b4"/>
          <w:vertAlign w:val="superscript"/>
        </w:rPr>
        <w:t>o</w:t>
      </w:r>
      <w:r w:rsidR="000D563C">
        <w:rPr>
          <w:rStyle w:val="s7d2086b4"/>
        </w:rPr>
        <w:t> </w:t>
      </w:r>
      <w:r w:rsidR="003A2004">
        <w:rPr>
          <w:rStyle w:val="s7d2086b4"/>
        </w:rPr>
        <w:t>15766/03, 16 mars 2010), qu</w:t>
      </w:r>
      <w:r w:rsidR="008615F7">
        <w:rPr>
          <w:rStyle w:val="s7d2086b4"/>
        </w:rPr>
        <w:t>’</w:t>
      </w:r>
      <w:r w:rsidR="003A2004">
        <w:rPr>
          <w:rStyle w:val="s7d2086b4"/>
        </w:rPr>
        <w:t>à des requérants adultes, parents de ces élèves mineurs (</w:t>
      </w:r>
      <w:r w:rsidR="003A2004" w:rsidRPr="005364CE">
        <w:rPr>
          <w:rStyle w:val="s6b621b36"/>
          <w:i/>
        </w:rPr>
        <w:t>Sampanis et autres</w:t>
      </w:r>
      <w:r w:rsidR="003A2004">
        <w:rPr>
          <w:rStyle w:val="s6b621b36"/>
        </w:rPr>
        <w:t xml:space="preserve"> </w:t>
      </w:r>
      <w:r w:rsidR="003A2004" w:rsidRPr="003A2004">
        <w:rPr>
          <w:rStyle w:val="s6b621b36"/>
          <w:i/>
        </w:rPr>
        <w:t>c</w:t>
      </w:r>
      <w:r w:rsidR="003A2004" w:rsidRPr="003F64A3">
        <w:rPr>
          <w:rStyle w:val="s6b621b36"/>
          <w:i/>
        </w:rPr>
        <w:t>. Grèce</w:t>
      </w:r>
      <w:r w:rsidR="003A2004">
        <w:rPr>
          <w:rStyle w:val="s6b621b36"/>
        </w:rPr>
        <w:t>, n</w:t>
      </w:r>
      <w:r w:rsidR="003759D8" w:rsidRPr="003759D8">
        <w:rPr>
          <w:rStyle w:val="s6b621b36"/>
          <w:vertAlign w:val="superscript"/>
        </w:rPr>
        <w:t>o</w:t>
      </w:r>
      <w:r w:rsidR="003A2004">
        <w:rPr>
          <w:rStyle w:val="s6b621b36"/>
        </w:rPr>
        <w:t xml:space="preserve"> 32526/05, 5 juin 2008)</w:t>
      </w:r>
      <w:r w:rsidR="003A2004">
        <w:rPr>
          <w:rStyle w:val="sb8d990e2"/>
        </w:rPr>
        <w:t>.</w:t>
      </w:r>
    </w:p>
    <w:p w:rsidR="003759D8" w:rsidRDefault="003759D8" w:rsidP="003759D8">
      <w:pPr>
        <w:pStyle w:val="JuHA"/>
      </w:pPr>
      <w:r>
        <w:t>D.  Conclusion</w:t>
      </w:r>
    </w:p>
    <w:p w:rsidR="008543C6" w:rsidRPr="00D92448" w:rsidRDefault="004F1EDE" w:rsidP="008543C6">
      <w:pPr>
        <w:pStyle w:val="JuPara"/>
      </w:pPr>
      <w:r>
        <w:fldChar w:fldCharType="begin"/>
      </w:r>
      <w:r>
        <w:instrText xml:space="preserve"> SEQ level0 \*arabic </w:instrText>
      </w:r>
      <w:r>
        <w:fldChar w:fldCharType="separate"/>
      </w:r>
      <w:r w:rsidR="00554499">
        <w:rPr>
          <w:noProof/>
        </w:rPr>
        <w:t>53</w:t>
      </w:r>
      <w:r>
        <w:fldChar w:fldCharType="end"/>
      </w:r>
      <w:r>
        <w:t>.  </w:t>
      </w:r>
      <w:r w:rsidR="008543C6">
        <w:t xml:space="preserve">La </w:t>
      </w:r>
      <w:r w:rsidR="008543C6" w:rsidRPr="00D92448">
        <w:t xml:space="preserve">Cour constate que </w:t>
      </w:r>
      <w:r w:rsidR="008543C6">
        <w:rPr>
          <w:rStyle w:val="JuParaCar"/>
        </w:rPr>
        <w:t>la requête</w:t>
      </w:r>
      <w:r w:rsidR="008543C6" w:rsidRPr="00D92448">
        <w:rPr>
          <w:rStyle w:val="JuParaCar"/>
        </w:rPr>
        <w:t xml:space="preserve"> </w:t>
      </w:r>
      <w:r w:rsidR="008543C6" w:rsidRPr="00D92448">
        <w:t>n</w:t>
      </w:r>
      <w:r w:rsidR="008615F7">
        <w:t>’</w:t>
      </w:r>
      <w:r w:rsidR="008543C6">
        <w:t>est</w:t>
      </w:r>
      <w:r w:rsidR="008543C6" w:rsidRPr="00D92448">
        <w:t xml:space="preserve"> pas manifestement mal fondé</w:t>
      </w:r>
      <w:r w:rsidR="008543C6">
        <w:t xml:space="preserve">e </w:t>
      </w:r>
      <w:r w:rsidR="008543C6" w:rsidRPr="00D92448">
        <w:t>au sens de l</w:t>
      </w:r>
      <w:r w:rsidR="008615F7">
        <w:t>’</w:t>
      </w:r>
      <w:r w:rsidR="008543C6" w:rsidRPr="00D92448">
        <w:t>article 35 § 3 a) de la Convention.</w:t>
      </w:r>
      <w:r w:rsidR="008543C6">
        <w:t xml:space="preserve"> Elle relève par ailleurs </w:t>
      </w:r>
      <w:r w:rsidR="008543C6" w:rsidRPr="00D92448">
        <w:t>qu</w:t>
      </w:r>
      <w:r w:rsidR="008615F7">
        <w:t>’</w:t>
      </w:r>
      <w:r w:rsidR="008543C6">
        <w:t>elle</w:t>
      </w:r>
      <w:r w:rsidR="008543C6" w:rsidRPr="00D92448">
        <w:t xml:space="preserve"> ne se heurte à aucun autre motif d</w:t>
      </w:r>
      <w:r w:rsidR="008615F7">
        <w:t>’</w:t>
      </w:r>
      <w:r w:rsidR="008543C6" w:rsidRPr="00D92448">
        <w:t>irrece</w:t>
      </w:r>
      <w:r w:rsidR="008543C6">
        <w:t>vabilité. Il convient donc de la</w:t>
      </w:r>
      <w:r w:rsidR="008543C6" w:rsidRPr="00D92448">
        <w:t xml:space="preserve"> déclarer recevable.</w:t>
      </w:r>
    </w:p>
    <w:p w:rsidR="00EC6427" w:rsidRPr="00520ECC" w:rsidRDefault="00BC23D5">
      <w:pPr>
        <w:pStyle w:val="JuHIRoman"/>
      </w:pPr>
      <w:r>
        <w:t>I</w:t>
      </w:r>
      <w:r w:rsidR="00D33176">
        <w:t>I</w:t>
      </w:r>
      <w:r w:rsidR="00EC6427" w:rsidRPr="00520ECC">
        <w:t>I.  SUR LA VIOLATION ALLÉGUÉE DE L</w:t>
      </w:r>
      <w:r w:rsidR="008615F7">
        <w:t>’</w:t>
      </w:r>
      <w:r w:rsidR="00EC6427" w:rsidRPr="00520ECC">
        <w:t xml:space="preserve">ARTICLE </w:t>
      </w:r>
      <w:r w:rsidR="00D33176">
        <w:t>14</w:t>
      </w:r>
      <w:r w:rsidR="00EC6427" w:rsidRPr="00520ECC">
        <w:t xml:space="preserve"> DE LA</w:t>
      </w:r>
      <w:r w:rsidR="000F6FD5">
        <w:t> </w:t>
      </w:r>
      <w:r w:rsidR="00EC6427" w:rsidRPr="00520ECC">
        <w:t>CONVENTION</w:t>
      </w:r>
      <w:r w:rsidR="00D33176">
        <w:t xml:space="preserve"> COMBIN</w:t>
      </w:r>
      <w:r w:rsidR="00661CDA" w:rsidRPr="00520ECC">
        <w:t>É</w:t>
      </w:r>
      <w:r w:rsidR="00D33176">
        <w:t xml:space="preserve"> AVEC L</w:t>
      </w:r>
      <w:r w:rsidR="008615F7">
        <w:t>’</w:t>
      </w:r>
      <w:r w:rsidR="00D33176">
        <w:t xml:space="preserve">ARTICLE 2 DU </w:t>
      </w:r>
      <w:r w:rsidR="00661CDA">
        <w:t>PROTOCOLE </w:t>
      </w:r>
      <w:r w:rsidR="00D33176">
        <w:t>N</w:t>
      </w:r>
      <w:r w:rsidR="00D33176" w:rsidRPr="00661CDA">
        <w:rPr>
          <w:vertAlign w:val="superscript"/>
        </w:rPr>
        <w:t>o</w:t>
      </w:r>
      <w:r w:rsidR="00D33176">
        <w:t xml:space="preserve"> 1</w:t>
      </w:r>
      <w:r w:rsidR="00CF074E">
        <w:t xml:space="preserve"> À LA CONVENTION</w:t>
      </w:r>
    </w:p>
    <w:p w:rsidR="00EC6427" w:rsidRPr="00520ECC" w:rsidRDefault="00520ECC" w:rsidP="009E2D52">
      <w:pPr>
        <w:pStyle w:val="JuPara"/>
      </w:pPr>
      <w:r w:rsidRPr="00520ECC">
        <w:fldChar w:fldCharType="begin"/>
      </w:r>
      <w:r w:rsidRPr="00520ECC">
        <w:instrText xml:space="preserve"> SEQ level0 \*arabic </w:instrText>
      </w:r>
      <w:r w:rsidRPr="00520ECC">
        <w:fldChar w:fldCharType="separate"/>
      </w:r>
      <w:r w:rsidR="00554499">
        <w:rPr>
          <w:noProof/>
        </w:rPr>
        <w:t>54</w:t>
      </w:r>
      <w:r w:rsidRPr="00520ECC">
        <w:fldChar w:fldCharType="end"/>
      </w:r>
      <w:r w:rsidR="00EC6427" w:rsidRPr="00520ECC">
        <w:t>.  </w:t>
      </w:r>
      <w:r w:rsidRPr="00520ECC">
        <w:t>Les requérants</w:t>
      </w:r>
      <w:r w:rsidR="00EC6427" w:rsidRPr="00520ECC">
        <w:t xml:space="preserve"> </w:t>
      </w:r>
      <w:r w:rsidR="001635E2" w:rsidRPr="00172A3E">
        <w:rPr>
          <w:noProof/>
        </w:rPr>
        <w:t>se plaignent</w:t>
      </w:r>
      <w:r w:rsidR="001635E2">
        <w:t xml:space="preserve"> du placement de certains d</w:t>
      </w:r>
      <w:r w:rsidR="008615F7">
        <w:t>’</w:t>
      </w:r>
      <w:r w:rsidR="001635E2">
        <w:t>entre eux</w:t>
      </w:r>
      <w:r w:rsidR="005A2FEB">
        <w:t>, à savoir les enfants de chacune des huit familles,</w:t>
      </w:r>
      <w:r w:rsidR="001635E2">
        <w:t xml:space="preserve"> dans une école primaire réservée à des élèves roms</w:t>
      </w:r>
      <w:r w:rsidR="00CF074E">
        <w:t>. Ils soutiennent que ce placement a</w:t>
      </w:r>
      <w:r w:rsidR="001635E2">
        <w:t xml:space="preserve"> eu pour conséquence de priver </w:t>
      </w:r>
      <w:r w:rsidR="00CF074E">
        <w:t xml:space="preserve">les élèves requérants </w:t>
      </w:r>
      <w:r w:rsidR="001635E2">
        <w:t>d</w:t>
      </w:r>
      <w:r w:rsidR="008615F7">
        <w:t>’</w:t>
      </w:r>
      <w:r w:rsidR="001635E2">
        <w:t>une v</w:t>
      </w:r>
      <w:r w:rsidR="00661CDA">
        <w:t>éritable</w:t>
      </w:r>
      <w:r w:rsidR="001635E2">
        <w:t xml:space="preserve"> scolarité. Ils </w:t>
      </w:r>
      <w:r w:rsidR="00661CDA">
        <w:t xml:space="preserve">dénoncent </w:t>
      </w:r>
      <w:r w:rsidR="00CF074E">
        <w:t xml:space="preserve">à cet égard </w:t>
      </w:r>
      <w:r w:rsidR="001635E2">
        <w:t>une violation de l</w:t>
      </w:r>
      <w:r w:rsidR="008615F7">
        <w:t>’</w:t>
      </w:r>
      <w:r w:rsidR="001635E2">
        <w:t>article 14 de la Convention combiné avec l</w:t>
      </w:r>
      <w:r w:rsidR="008615F7">
        <w:t>’</w:t>
      </w:r>
      <w:r w:rsidR="001635E2">
        <w:t>article 2 du Protocole n</w:t>
      </w:r>
      <w:r w:rsidR="003759D8" w:rsidRPr="003759D8">
        <w:rPr>
          <w:vertAlign w:val="superscript"/>
        </w:rPr>
        <w:t>o</w:t>
      </w:r>
      <w:r w:rsidR="001635E2">
        <w:t xml:space="preserve"> 1</w:t>
      </w:r>
      <w:r w:rsidR="00CF074E">
        <w:t xml:space="preserve"> à la Convention</w:t>
      </w:r>
      <w:r w:rsidR="001635E2">
        <w:t xml:space="preserve">. Ces </w:t>
      </w:r>
      <w:r w:rsidR="00661CDA">
        <w:t>dispositions</w:t>
      </w:r>
      <w:r w:rsidR="001635E2">
        <w:t xml:space="preserve"> sont</w:t>
      </w:r>
      <w:r w:rsidR="00EC6427" w:rsidRPr="00520ECC">
        <w:t xml:space="preserve"> ainsi libellé</w:t>
      </w:r>
      <w:r w:rsidR="00661CDA">
        <w:t>e</w:t>
      </w:r>
      <w:r w:rsidR="001635E2">
        <w:t>s</w:t>
      </w:r>
      <w:r w:rsidR="00EC6427" w:rsidRPr="00520ECC">
        <w:t> :</w:t>
      </w:r>
    </w:p>
    <w:p w:rsidR="001635E2" w:rsidRPr="001635E2" w:rsidRDefault="001635E2" w:rsidP="00CF074E">
      <w:pPr>
        <w:pStyle w:val="JuQuot"/>
        <w:keepNext/>
        <w:jc w:val="center"/>
        <w:rPr>
          <w:b/>
        </w:rPr>
      </w:pPr>
      <w:r w:rsidRPr="001635E2">
        <w:rPr>
          <w:b/>
        </w:rPr>
        <w:t>Article 14 de la Convention</w:t>
      </w:r>
    </w:p>
    <w:p w:rsidR="00EC6427" w:rsidRDefault="001635E2">
      <w:pPr>
        <w:pStyle w:val="JuQuot"/>
      </w:pPr>
      <w:r>
        <w:t>« La jouissance des droits et libertés reconnus dans la (...) Convention doit être assurée, sans distinction aucune, fondée notamment sur le sexe, la race, la couleur, la langue, la religion, les opinions politiques ou toutes autres opinions, l</w:t>
      </w:r>
      <w:r w:rsidR="008615F7">
        <w:t>’</w:t>
      </w:r>
      <w:r>
        <w:t>origine nationale ou sociale, l</w:t>
      </w:r>
      <w:r w:rsidR="008615F7">
        <w:t>’</w:t>
      </w:r>
      <w:r>
        <w:t>appartenance à une minorité nationale, la fortune, la naissance ou toute autre situation. »</w:t>
      </w:r>
    </w:p>
    <w:p w:rsidR="001635E2" w:rsidRPr="001635E2" w:rsidRDefault="001635E2" w:rsidP="001635E2">
      <w:pPr>
        <w:pStyle w:val="JuQuot"/>
        <w:jc w:val="center"/>
        <w:rPr>
          <w:b/>
        </w:rPr>
      </w:pPr>
      <w:r w:rsidRPr="001635E2">
        <w:rPr>
          <w:b/>
        </w:rPr>
        <w:t>Article 2 du Protocole n</w:t>
      </w:r>
      <w:r w:rsidR="003759D8" w:rsidRPr="003759D8">
        <w:rPr>
          <w:b/>
          <w:vertAlign w:val="superscript"/>
        </w:rPr>
        <w:t>o</w:t>
      </w:r>
      <w:r w:rsidRPr="001635E2">
        <w:rPr>
          <w:b/>
        </w:rPr>
        <w:t xml:space="preserve"> 1</w:t>
      </w:r>
    </w:p>
    <w:p w:rsidR="001635E2" w:rsidRPr="00520ECC" w:rsidRDefault="001635E2">
      <w:pPr>
        <w:pStyle w:val="JuQuot"/>
      </w:pPr>
      <w:r>
        <w:t>« Nul ne peut se voir refuser le droit à l</w:t>
      </w:r>
      <w:r w:rsidR="008615F7">
        <w:t>’</w:t>
      </w:r>
      <w:r>
        <w:t>instruction. L</w:t>
      </w:r>
      <w:r w:rsidR="008615F7">
        <w:t>’</w:t>
      </w:r>
      <w:r>
        <w:t>Etat, dans l</w:t>
      </w:r>
      <w:r w:rsidR="008615F7">
        <w:t>’</w:t>
      </w:r>
      <w:r>
        <w:t>exercice des fonctions qu</w:t>
      </w:r>
      <w:r w:rsidR="008615F7">
        <w:t>’</w:t>
      </w:r>
      <w:r>
        <w:t>il assumera dans le domaine de l</w:t>
      </w:r>
      <w:r w:rsidR="008615F7">
        <w:t>’</w:t>
      </w:r>
      <w:r>
        <w:t>éducation et de l</w:t>
      </w:r>
      <w:r w:rsidR="008615F7">
        <w:t>’</w:t>
      </w:r>
      <w:r>
        <w:t>enseignement, respectera le droit des parents d</w:t>
      </w:r>
      <w:r w:rsidR="008615F7">
        <w:t>’</w:t>
      </w:r>
      <w:r>
        <w:t>assurer cette éducation et cet enseignement conformément à leurs convictions religieuses et philosophiques. »</w:t>
      </w:r>
    </w:p>
    <w:p w:rsidR="0073679C" w:rsidRDefault="0073679C" w:rsidP="0073679C">
      <w:pPr>
        <w:pStyle w:val="JuHA"/>
      </w:pPr>
      <w:r>
        <w:t>A.  Arguments des parties</w:t>
      </w:r>
    </w:p>
    <w:p w:rsidR="00076451" w:rsidRDefault="00520ECC" w:rsidP="00076451">
      <w:pPr>
        <w:pStyle w:val="JuPara"/>
      </w:pPr>
      <w:r w:rsidRPr="00520ECC">
        <w:fldChar w:fldCharType="begin"/>
      </w:r>
      <w:r w:rsidRPr="00520ECC">
        <w:instrText xml:space="preserve"> SEQ level0 \*arabic </w:instrText>
      </w:r>
      <w:r w:rsidRPr="00520ECC">
        <w:fldChar w:fldCharType="separate"/>
      </w:r>
      <w:r w:rsidR="00554499">
        <w:rPr>
          <w:noProof/>
        </w:rPr>
        <w:t>55</w:t>
      </w:r>
      <w:r w:rsidRPr="00520ECC">
        <w:fldChar w:fldCharType="end"/>
      </w:r>
      <w:r w:rsidR="001635E2">
        <w:t>.  Le Gouvernement</w:t>
      </w:r>
      <w:r w:rsidR="00980D8E">
        <w:t xml:space="preserve"> soutient que </w:t>
      </w:r>
      <w:r w:rsidR="002768C1">
        <w:t>les thèses des requérants en l</w:t>
      </w:r>
      <w:r w:rsidR="008615F7">
        <w:t>’</w:t>
      </w:r>
      <w:r w:rsidR="002768C1">
        <w:t xml:space="preserve">espèce se </w:t>
      </w:r>
      <w:r w:rsidR="00980D8E">
        <w:t>caractéris</w:t>
      </w:r>
      <w:r w:rsidR="002768C1">
        <w:t>ent par</w:t>
      </w:r>
      <w:r w:rsidR="00980D8E">
        <w:t xml:space="preserve"> la généralité des arguments présentés</w:t>
      </w:r>
      <w:r w:rsidR="00A76B22">
        <w:t>. Il estime que ceux-ci</w:t>
      </w:r>
      <w:r w:rsidR="00980D8E">
        <w:t xml:space="preserve"> portent uniquement sur la composition ethnique de la population scolaire de la </w:t>
      </w:r>
      <w:r w:rsidR="00980D8E" w:rsidRPr="00305A0A">
        <w:t>4</w:t>
      </w:r>
      <w:r w:rsidR="00980D8E" w:rsidRPr="00305A0A">
        <w:rPr>
          <w:vertAlign w:val="superscript"/>
        </w:rPr>
        <w:t>e</w:t>
      </w:r>
      <w:r w:rsidR="00305A0A">
        <w:t> </w:t>
      </w:r>
      <w:r w:rsidR="00980D8E" w:rsidRPr="00305A0A">
        <w:t>école</w:t>
      </w:r>
      <w:r w:rsidR="00980D8E">
        <w:t>. Il affirme que les requérants n</w:t>
      </w:r>
      <w:r w:rsidR="008615F7">
        <w:t>’</w:t>
      </w:r>
      <w:r w:rsidR="00980D8E">
        <w:t xml:space="preserve">ont fourni </w:t>
      </w:r>
      <w:r w:rsidR="00980D8E" w:rsidRPr="00FA5D46">
        <w:t>aucun élément de nature à prouver que l</w:t>
      </w:r>
      <w:r w:rsidR="00FA5D46" w:rsidRPr="00FA5D46">
        <w:t>e fonctionnement</w:t>
      </w:r>
      <w:r w:rsidR="00980D8E" w:rsidRPr="00FA5D46">
        <w:t xml:space="preserve"> de cette école en</w:t>
      </w:r>
      <w:r w:rsidR="00980D8E">
        <w:t xml:space="preserve"> 2009-2010 a</w:t>
      </w:r>
      <w:r w:rsidR="00FA5D46">
        <w:t xml:space="preserve"> eu</w:t>
      </w:r>
      <w:r w:rsidR="00980D8E">
        <w:t xml:space="preserve"> des répercussions préjudiciables sur eux et les a placés dans une situation nettement plus défavorable </w:t>
      </w:r>
      <w:r w:rsidR="00661CDA">
        <w:t>que</w:t>
      </w:r>
      <w:r w:rsidR="00980D8E">
        <w:t xml:space="preserve"> d</w:t>
      </w:r>
      <w:r w:rsidR="008615F7">
        <w:t>’</w:t>
      </w:r>
      <w:r w:rsidR="00980D8E">
        <w:t xml:space="preserve">autres individus se trouvant dans une situation comparable. </w:t>
      </w:r>
      <w:r w:rsidR="00A72CE4">
        <w:t xml:space="preserve">Les requérants </w:t>
      </w:r>
      <w:r w:rsidR="00661CDA">
        <w:t>auraient</w:t>
      </w:r>
      <w:r w:rsidR="00A72CE4">
        <w:t xml:space="preserve"> suivi le programme scolaire destiné à tout élève du </w:t>
      </w:r>
      <w:r w:rsidR="00FA5D46">
        <w:t xml:space="preserve">cycle </w:t>
      </w:r>
      <w:r w:rsidR="00A72CE4">
        <w:t>primaire</w:t>
      </w:r>
      <w:r w:rsidR="00661CDA">
        <w:t>,</w:t>
      </w:r>
      <w:r w:rsidR="0088477E">
        <w:t xml:space="preserve"> ils</w:t>
      </w:r>
      <w:r w:rsidR="00FA5D46">
        <w:t xml:space="preserve"> </w:t>
      </w:r>
      <w:r w:rsidR="00661CDA">
        <w:t xml:space="preserve">auraient </w:t>
      </w:r>
      <w:r w:rsidR="00A72CE4">
        <w:t xml:space="preserve">acquis les mêmes </w:t>
      </w:r>
      <w:r w:rsidR="00661CDA">
        <w:t>validations scolaires</w:t>
      </w:r>
      <w:r w:rsidR="00A72CE4">
        <w:t xml:space="preserve"> que tout autre élève du</w:t>
      </w:r>
      <w:r w:rsidR="00661CDA">
        <w:t xml:space="preserve"> </w:t>
      </w:r>
      <w:r w:rsidR="00FA5D46">
        <w:t xml:space="preserve">même </w:t>
      </w:r>
      <w:r w:rsidR="00661CDA">
        <w:t>cycle</w:t>
      </w:r>
      <w:r w:rsidR="00A72CE4">
        <w:t xml:space="preserve"> </w:t>
      </w:r>
      <w:r w:rsidR="00661CDA">
        <w:t>et, par conséquent,</w:t>
      </w:r>
      <w:r w:rsidR="00FA5D46">
        <w:t xml:space="preserve"> ils</w:t>
      </w:r>
      <w:r w:rsidR="00661CDA">
        <w:t xml:space="preserve"> auraient bénéficié d</w:t>
      </w:r>
      <w:r w:rsidR="00A72CE4">
        <w:t>es mêmes possibilités d</w:t>
      </w:r>
      <w:r w:rsidR="008615F7">
        <w:t>’</w:t>
      </w:r>
      <w:r w:rsidR="00A72CE4">
        <w:t>accès à l</w:t>
      </w:r>
      <w:r w:rsidR="008615F7">
        <w:t>’</w:t>
      </w:r>
      <w:r w:rsidR="00661CDA">
        <w:t>enseignement</w:t>
      </w:r>
      <w:r w:rsidR="00A72CE4">
        <w:t xml:space="preserve"> secondaire.</w:t>
      </w:r>
      <w:r w:rsidR="00303D16">
        <w:t xml:space="preserve"> </w:t>
      </w:r>
      <w:r w:rsidR="002E06C6">
        <w:t>Pour le Gouvernement, il n</w:t>
      </w:r>
      <w:r w:rsidR="008615F7">
        <w:t>’</w:t>
      </w:r>
      <w:r w:rsidR="002E06C6">
        <w:t>existe</w:t>
      </w:r>
      <w:r w:rsidR="00661CDA">
        <w:t xml:space="preserve"> a</w:t>
      </w:r>
      <w:r w:rsidR="00303D16">
        <w:t>ucun élément constitutif d</w:t>
      </w:r>
      <w:r w:rsidR="008615F7">
        <w:t>’</w:t>
      </w:r>
      <w:r w:rsidR="00303D16">
        <w:t>une discrimination directe contre les requérants dans la présente affaire.</w:t>
      </w:r>
    </w:p>
    <w:p w:rsidR="001635E2" w:rsidRDefault="00DB6AB2" w:rsidP="00076451">
      <w:pPr>
        <w:pStyle w:val="JuPara"/>
      </w:pPr>
      <w:r>
        <w:fldChar w:fldCharType="begin"/>
      </w:r>
      <w:r>
        <w:instrText xml:space="preserve"> SEQ level0 \*arabic </w:instrText>
      </w:r>
      <w:r>
        <w:fldChar w:fldCharType="separate"/>
      </w:r>
      <w:r w:rsidR="00554499">
        <w:rPr>
          <w:noProof/>
        </w:rPr>
        <w:t>56</w:t>
      </w:r>
      <w:r>
        <w:fldChar w:fldCharType="end"/>
      </w:r>
      <w:r>
        <w:t>.  </w:t>
      </w:r>
      <w:r w:rsidR="00262481">
        <w:t xml:space="preserve">Le Gouvernement </w:t>
      </w:r>
      <w:r w:rsidR="00122BE3">
        <w:t xml:space="preserve">affirme </w:t>
      </w:r>
      <w:r w:rsidR="0004239F">
        <w:t xml:space="preserve">ensuite </w:t>
      </w:r>
      <w:r w:rsidR="00262481">
        <w:t>que les élèves de la 4</w:t>
      </w:r>
      <w:r w:rsidR="00262481" w:rsidRPr="00262481">
        <w:rPr>
          <w:vertAlign w:val="superscript"/>
        </w:rPr>
        <w:t>e</w:t>
      </w:r>
      <w:r w:rsidR="00262481">
        <w:t xml:space="preserve"> école ont été affectés </w:t>
      </w:r>
      <w:r w:rsidR="0004239F">
        <w:t xml:space="preserve">à celle-ci </w:t>
      </w:r>
      <w:r w:rsidR="00262481">
        <w:t xml:space="preserve">sur la base du critère appliqué </w:t>
      </w:r>
      <w:r w:rsidR="0004239F">
        <w:t>à</w:t>
      </w:r>
      <w:r w:rsidR="00262481">
        <w:t xml:space="preserve"> tout élève des écoles publiques, à savoir la distance </w:t>
      </w:r>
      <w:r w:rsidR="0004239F">
        <w:t>séparant</w:t>
      </w:r>
      <w:r w:rsidR="00262481">
        <w:t xml:space="preserve"> son domicile de l</w:t>
      </w:r>
      <w:r w:rsidR="008615F7">
        <w:t>’</w:t>
      </w:r>
      <w:r w:rsidR="00262481">
        <w:t>école.</w:t>
      </w:r>
      <w:r>
        <w:t xml:space="preserve"> </w:t>
      </w:r>
      <w:r w:rsidR="00730296">
        <w:t>Il expose que la fréquentation de</w:t>
      </w:r>
      <w:r>
        <w:t xml:space="preserve"> l</w:t>
      </w:r>
      <w:r w:rsidR="008615F7">
        <w:t>’</w:t>
      </w:r>
      <w:r>
        <w:t xml:space="preserve">école en question par des élèves </w:t>
      </w:r>
      <w:r w:rsidR="00730296">
        <w:t>issus de</w:t>
      </w:r>
      <w:r>
        <w:t xml:space="preserve"> </w:t>
      </w:r>
      <w:r w:rsidR="007660A1">
        <w:t>l</w:t>
      </w:r>
      <w:r w:rsidR="008615F7">
        <w:t>’</w:t>
      </w:r>
      <w:r w:rsidR="007660A1">
        <w:t>importante</w:t>
      </w:r>
      <w:r>
        <w:t xml:space="preserve"> communauté rom</w:t>
      </w:r>
      <w:r w:rsidR="007660A1">
        <w:t xml:space="preserve"> résidant</w:t>
      </w:r>
      <w:r>
        <w:t xml:space="preserve"> à proximité ne fai</w:t>
      </w:r>
      <w:r w:rsidR="00730296">
        <w:t>sait</w:t>
      </w:r>
      <w:r>
        <w:t xml:space="preserve"> d</w:t>
      </w:r>
      <w:r w:rsidR="008615F7">
        <w:t>’</w:t>
      </w:r>
      <w:r>
        <w:t xml:space="preserve">elle ni une école minoritaire ni une école spéciale. </w:t>
      </w:r>
      <w:r w:rsidR="00730296">
        <w:t>Il indique que, à la différence des requérants dans les</w:t>
      </w:r>
      <w:r>
        <w:t xml:space="preserve"> affaires </w:t>
      </w:r>
      <w:r w:rsidR="000D726C" w:rsidRPr="00772280">
        <w:rPr>
          <w:rStyle w:val="s6b621b36"/>
          <w:i/>
        </w:rPr>
        <w:t>D.H. et autres</w:t>
      </w:r>
      <w:r w:rsidR="000D726C">
        <w:rPr>
          <w:rStyle w:val="sb8d990e2"/>
        </w:rPr>
        <w:t>,</w:t>
      </w:r>
      <w:r w:rsidR="004A437E">
        <w:rPr>
          <w:rStyle w:val="sb8d990e2"/>
        </w:rPr>
        <w:t xml:space="preserve"> </w:t>
      </w:r>
      <w:r w:rsidR="004A437E" w:rsidRPr="00503FBE">
        <w:rPr>
          <w:i/>
        </w:rPr>
        <w:t>Sampanis et autres</w:t>
      </w:r>
      <w:r w:rsidR="004A437E">
        <w:t xml:space="preserve"> </w:t>
      </w:r>
      <w:r w:rsidR="000D726C">
        <w:rPr>
          <w:rStyle w:val="sb8d990e2"/>
        </w:rPr>
        <w:t>et</w:t>
      </w:r>
      <w:r w:rsidR="000D726C">
        <w:t xml:space="preserve"> </w:t>
      </w:r>
      <w:r w:rsidR="00997FAF">
        <w:rPr>
          <w:rStyle w:val="s7d2086b4"/>
          <w:i/>
        </w:rPr>
        <w:t>Oršuš et autres</w:t>
      </w:r>
      <w:r w:rsidR="003F64A3">
        <w:rPr>
          <w:rStyle w:val="s7d2086b4"/>
          <w:i/>
        </w:rPr>
        <w:t xml:space="preserve"> </w:t>
      </w:r>
      <w:r w:rsidR="00730296" w:rsidRPr="00730296">
        <w:rPr>
          <w:rStyle w:val="s7d2086b4"/>
        </w:rPr>
        <w:t>(</w:t>
      </w:r>
      <w:r w:rsidR="003F64A3">
        <w:rPr>
          <w:rStyle w:val="s7d2086b4"/>
        </w:rPr>
        <w:t>précitées</w:t>
      </w:r>
      <w:r w:rsidR="00730296">
        <w:rPr>
          <w:rStyle w:val="s7d2086b4"/>
        </w:rPr>
        <w:t>)</w:t>
      </w:r>
      <w:r w:rsidR="004A437E">
        <w:rPr>
          <w:rStyle w:val="s7d2086b4"/>
        </w:rPr>
        <w:t>,</w:t>
      </w:r>
      <w:r w:rsidR="00303D16">
        <w:rPr>
          <w:rStyle w:val="s7d2086b4"/>
        </w:rPr>
        <w:t xml:space="preserve"> les </w:t>
      </w:r>
      <w:r w:rsidR="007660A1">
        <w:rPr>
          <w:rStyle w:val="s7d2086b4"/>
        </w:rPr>
        <w:t xml:space="preserve">élèves </w:t>
      </w:r>
      <w:r w:rsidR="00303D16">
        <w:rPr>
          <w:rStyle w:val="s7d2086b4"/>
        </w:rPr>
        <w:t>requérants en l</w:t>
      </w:r>
      <w:r w:rsidR="008615F7">
        <w:rPr>
          <w:rStyle w:val="s7d2086b4"/>
        </w:rPr>
        <w:t>’</w:t>
      </w:r>
      <w:r w:rsidR="00303D16">
        <w:rPr>
          <w:rStyle w:val="s7d2086b4"/>
        </w:rPr>
        <w:t>espèce n</w:t>
      </w:r>
      <w:r w:rsidR="008615F7">
        <w:rPr>
          <w:rStyle w:val="s7d2086b4"/>
        </w:rPr>
        <w:t>’</w:t>
      </w:r>
      <w:r w:rsidR="00730296">
        <w:rPr>
          <w:rStyle w:val="s7d2086b4"/>
        </w:rPr>
        <w:t>ont</w:t>
      </w:r>
      <w:r w:rsidR="00303D16">
        <w:rPr>
          <w:rStyle w:val="s7d2086b4"/>
        </w:rPr>
        <w:t xml:space="preserve"> pas</w:t>
      </w:r>
      <w:r w:rsidR="00730296">
        <w:rPr>
          <w:rStyle w:val="s7d2086b4"/>
        </w:rPr>
        <w:t xml:space="preserve"> été</w:t>
      </w:r>
      <w:r w:rsidR="00303D16">
        <w:rPr>
          <w:rStyle w:val="s7d2086b4"/>
        </w:rPr>
        <w:t xml:space="preserve"> placés dans des écoles </w:t>
      </w:r>
      <w:r w:rsidR="00730296">
        <w:rPr>
          <w:rStyle w:val="s7d2086b4"/>
        </w:rPr>
        <w:t>d</w:t>
      </w:r>
      <w:r w:rsidR="008615F7">
        <w:rPr>
          <w:rStyle w:val="s7d2086b4"/>
        </w:rPr>
        <w:t>’</w:t>
      </w:r>
      <w:r w:rsidR="00303D16">
        <w:rPr>
          <w:rStyle w:val="s7d2086b4"/>
        </w:rPr>
        <w:t>éducat</w:t>
      </w:r>
      <w:r w:rsidR="00730296">
        <w:rPr>
          <w:rStyle w:val="s7d2086b4"/>
        </w:rPr>
        <w:t>ion</w:t>
      </w:r>
      <w:r w:rsidR="00303D16">
        <w:rPr>
          <w:rStyle w:val="s7d2086b4"/>
        </w:rPr>
        <w:t xml:space="preserve"> spécial</w:t>
      </w:r>
      <w:r w:rsidR="007660A1">
        <w:rPr>
          <w:rStyle w:val="s7d2086b4"/>
        </w:rPr>
        <w:t>isée</w:t>
      </w:r>
      <w:r w:rsidR="00303D16">
        <w:rPr>
          <w:rStyle w:val="s7d2086b4"/>
        </w:rPr>
        <w:t xml:space="preserve"> ou </w:t>
      </w:r>
      <w:r w:rsidR="00730296">
        <w:rPr>
          <w:rStyle w:val="s7d2086b4"/>
        </w:rPr>
        <w:t xml:space="preserve">dans </w:t>
      </w:r>
      <w:r w:rsidR="00303D16">
        <w:rPr>
          <w:rStyle w:val="s7d2086b4"/>
        </w:rPr>
        <w:t xml:space="preserve">des classes spéciales existant </w:t>
      </w:r>
      <w:r w:rsidR="007660A1">
        <w:rPr>
          <w:rStyle w:val="s7d2086b4"/>
        </w:rPr>
        <w:t>au sein</w:t>
      </w:r>
      <w:r w:rsidR="00303D16">
        <w:rPr>
          <w:rStyle w:val="s7d2086b4"/>
        </w:rPr>
        <w:t xml:space="preserve"> des écoles ordinaires, ce qui </w:t>
      </w:r>
      <w:r w:rsidR="00001DD2">
        <w:rPr>
          <w:rStyle w:val="s7d2086b4"/>
        </w:rPr>
        <w:t xml:space="preserve">aurait </w:t>
      </w:r>
      <w:r w:rsidR="00303D16">
        <w:rPr>
          <w:rStyle w:val="s7d2086b4"/>
        </w:rPr>
        <w:t xml:space="preserve">eu pour effet de </w:t>
      </w:r>
      <w:r w:rsidR="00001DD2">
        <w:rPr>
          <w:rStyle w:val="s7d2086b4"/>
        </w:rPr>
        <w:t xml:space="preserve">les faire </w:t>
      </w:r>
      <w:r w:rsidR="00303D16">
        <w:rPr>
          <w:rStyle w:val="s7d2086b4"/>
        </w:rPr>
        <w:t>bénéficier d</w:t>
      </w:r>
      <w:r w:rsidR="008615F7">
        <w:rPr>
          <w:rStyle w:val="s7d2086b4"/>
        </w:rPr>
        <w:t>’</w:t>
      </w:r>
      <w:r w:rsidR="00303D16">
        <w:rPr>
          <w:rStyle w:val="s7d2086b4"/>
        </w:rPr>
        <w:t>un niveau d</w:t>
      </w:r>
      <w:r w:rsidR="008615F7">
        <w:rPr>
          <w:rStyle w:val="s7d2086b4"/>
        </w:rPr>
        <w:t>’</w:t>
      </w:r>
      <w:r w:rsidR="00303D16">
        <w:rPr>
          <w:rStyle w:val="s7d2086b4"/>
        </w:rPr>
        <w:t>étude inférieur.</w:t>
      </w:r>
    </w:p>
    <w:p w:rsidR="001635E2" w:rsidRDefault="00122BE3" w:rsidP="00076451">
      <w:pPr>
        <w:pStyle w:val="JuPara"/>
      </w:pPr>
      <w:r>
        <w:fldChar w:fldCharType="begin"/>
      </w:r>
      <w:r>
        <w:instrText xml:space="preserve"> SEQ level0 \*arabic </w:instrText>
      </w:r>
      <w:r>
        <w:fldChar w:fldCharType="separate"/>
      </w:r>
      <w:r w:rsidR="00554499">
        <w:rPr>
          <w:noProof/>
        </w:rPr>
        <w:t>57</w:t>
      </w:r>
      <w:r>
        <w:fldChar w:fldCharType="end"/>
      </w:r>
      <w:r>
        <w:t xml:space="preserve">.  Le Gouvernement </w:t>
      </w:r>
      <w:r w:rsidR="00064100">
        <w:t>soutient en outre</w:t>
      </w:r>
      <w:r w:rsidR="0040286C">
        <w:t xml:space="preserve"> </w:t>
      </w:r>
      <w:r>
        <w:t>que les requérants n</w:t>
      </w:r>
      <w:r w:rsidR="008615F7">
        <w:t>’</w:t>
      </w:r>
      <w:r>
        <w:t xml:space="preserve">ont pas été </w:t>
      </w:r>
      <w:r w:rsidR="0040286C">
        <w:t>affectés à</w:t>
      </w:r>
      <w:r>
        <w:t xml:space="preserve"> l</w:t>
      </w:r>
      <w:r w:rsidR="008615F7">
        <w:t>’</w:t>
      </w:r>
      <w:r>
        <w:t xml:space="preserve">école en question de manière contraignante. Ils </w:t>
      </w:r>
      <w:r w:rsidR="0040286C">
        <w:t>s</w:t>
      </w:r>
      <w:r w:rsidR="008615F7">
        <w:t>’</w:t>
      </w:r>
      <w:r>
        <w:t xml:space="preserve">y </w:t>
      </w:r>
      <w:r w:rsidR="0040286C">
        <w:t>seraient</w:t>
      </w:r>
      <w:r>
        <w:t xml:space="preserve"> inscrits volontairement sans avoir essayé de s</w:t>
      </w:r>
      <w:r w:rsidR="008615F7">
        <w:t>’</w:t>
      </w:r>
      <w:r>
        <w:t>inscrire dans une autre école</w:t>
      </w:r>
      <w:r w:rsidR="0040286C">
        <w:t>,</w:t>
      </w:r>
      <w:r>
        <w:t xml:space="preserve"> ni pendant l</w:t>
      </w:r>
      <w:r w:rsidR="008615F7">
        <w:t>’</w:t>
      </w:r>
      <w:r>
        <w:t xml:space="preserve">année scolaire 2009-2010 ni </w:t>
      </w:r>
      <w:r w:rsidR="007660A1">
        <w:t>après</w:t>
      </w:r>
      <w:r>
        <w:t xml:space="preserve"> (</w:t>
      </w:r>
      <w:r w:rsidR="007660A1">
        <w:t>à l</w:t>
      </w:r>
      <w:r w:rsidR="008615F7">
        <w:t>’</w:t>
      </w:r>
      <w:r w:rsidR="007660A1">
        <w:t>exception de</w:t>
      </w:r>
      <w:r>
        <w:t xml:space="preserve"> Vasiliki-Maria Kalliora qui </w:t>
      </w:r>
      <w:r w:rsidR="0040286C">
        <w:t>aurait été</w:t>
      </w:r>
      <w:r>
        <w:t xml:space="preserve"> admise à la 2</w:t>
      </w:r>
      <w:r w:rsidRPr="00122BE3">
        <w:rPr>
          <w:vertAlign w:val="superscript"/>
        </w:rPr>
        <w:t>e</w:t>
      </w:r>
      <w:r>
        <w:t xml:space="preserve"> école</w:t>
      </w:r>
      <w:r w:rsidR="00933E4B">
        <w:t xml:space="preserve"> primaire</w:t>
      </w:r>
      <w:r>
        <w:t xml:space="preserve"> de Sofades en 2010-2011).</w:t>
      </w:r>
      <w:r w:rsidR="00933E4B">
        <w:t xml:space="preserve"> Deux des requérants, Haralambos Kallioras et Vaïa Polyzou, </w:t>
      </w:r>
      <w:r w:rsidR="0040286C">
        <w:t>auraient</w:t>
      </w:r>
      <w:r w:rsidR="00933E4B">
        <w:t xml:space="preserve"> achevé leur scolarité avec succès en 2010 et </w:t>
      </w:r>
      <w:r w:rsidR="0040286C">
        <w:t>auraient</w:t>
      </w:r>
      <w:r w:rsidR="00933E4B">
        <w:t xml:space="preserve"> </w:t>
      </w:r>
      <w:r w:rsidR="0040286C">
        <w:t>intégré</w:t>
      </w:r>
      <w:r w:rsidR="00933E4B">
        <w:t xml:space="preserve"> les 1</w:t>
      </w:r>
      <w:r w:rsidR="00933E4B" w:rsidRPr="00933E4B">
        <w:rPr>
          <w:vertAlign w:val="superscript"/>
        </w:rPr>
        <w:t>re</w:t>
      </w:r>
      <w:r w:rsidR="0040286C">
        <w:t> </w:t>
      </w:r>
      <w:r w:rsidR="00933E4B">
        <w:t>et 2</w:t>
      </w:r>
      <w:r w:rsidR="00933E4B" w:rsidRPr="00933E4B">
        <w:rPr>
          <w:vertAlign w:val="superscript"/>
        </w:rPr>
        <w:t>e</w:t>
      </w:r>
      <w:r w:rsidR="00933E4B">
        <w:t xml:space="preserve"> écoles secondaires de Sofades.</w:t>
      </w:r>
    </w:p>
    <w:p w:rsidR="001635E2" w:rsidRDefault="004F3E2F" w:rsidP="00076451">
      <w:pPr>
        <w:pStyle w:val="JuPara"/>
      </w:pPr>
      <w:r>
        <w:fldChar w:fldCharType="begin"/>
      </w:r>
      <w:r>
        <w:instrText xml:space="preserve"> SEQ level0 \*arabic </w:instrText>
      </w:r>
      <w:r>
        <w:fldChar w:fldCharType="separate"/>
      </w:r>
      <w:r w:rsidR="00554499">
        <w:rPr>
          <w:noProof/>
        </w:rPr>
        <w:t>58</w:t>
      </w:r>
      <w:r>
        <w:fldChar w:fldCharType="end"/>
      </w:r>
      <w:r>
        <w:t>.  </w:t>
      </w:r>
      <w:r w:rsidR="00AD5719">
        <w:t>Les requérants</w:t>
      </w:r>
      <w:r w:rsidR="00EC69F4">
        <w:t xml:space="preserve"> </w:t>
      </w:r>
      <w:r w:rsidR="00064100">
        <w:t xml:space="preserve">allèguent avoir été </w:t>
      </w:r>
      <w:r w:rsidR="00EC69F4">
        <w:t>victimes d</w:t>
      </w:r>
      <w:r w:rsidR="008615F7">
        <w:t>’</w:t>
      </w:r>
      <w:r w:rsidR="00EC69F4">
        <w:t>une discrimination tant directe qu</w:t>
      </w:r>
      <w:r w:rsidR="008615F7">
        <w:t>’</w:t>
      </w:r>
      <w:r w:rsidR="00EC69F4">
        <w:t>indirecte. Ils</w:t>
      </w:r>
      <w:r w:rsidR="00AD5719">
        <w:t xml:space="preserve"> </w:t>
      </w:r>
      <w:r w:rsidR="006152CF">
        <w:t xml:space="preserve">affirment </w:t>
      </w:r>
      <w:r w:rsidR="008F13B2">
        <w:t>que leur grief a pour toile de fond l</w:t>
      </w:r>
      <w:r w:rsidR="008615F7">
        <w:t>’</w:t>
      </w:r>
      <w:r w:rsidR="008F13B2">
        <w:t xml:space="preserve">existence </w:t>
      </w:r>
      <w:r w:rsidR="00064100">
        <w:t>– selon eux tolérée par l</w:t>
      </w:r>
      <w:r w:rsidR="008615F7">
        <w:t>’</w:t>
      </w:r>
      <w:r w:rsidR="00064100">
        <w:t xml:space="preserve">Etat – </w:t>
      </w:r>
      <w:r w:rsidR="008F13B2">
        <w:t>d</w:t>
      </w:r>
      <w:r w:rsidR="008615F7">
        <w:t>’</w:t>
      </w:r>
      <w:r w:rsidR="008F13B2">
        <w:t>écoles</w:t>
      </w:r>
      <w:r w:rsidR="00064100">
        <w:t xml:space="preserve"> </w:t>
      </w:r>
      <w:r w:rsidR="008F13B2">
        <w:t xml:space="preserve">ghettos en Grèce, dont le fonctionnement </w:t>
      </w:r>
      <w:r w:rsidR="00DB0F91">
        <w:t>serait</w:t>
      </w:r>
      <w:r w:rsidR="008F13B2">
        <w:t xml:space="preserve"> en totale contradiction avec le droit </w:t>
      </w:r>
      <w:r w:rsidR="00DB0F91">
        <w:t xml:space="preserve">tant </w:t>
      </w:r>
      <w:r w:rsidR="008F13B2">
        <w:t xml:space="preserve">national </w:t>
      </w:r>
      <w:r w:rsidR="00DB0F91">
        <w:t>qu</w:t>
      </w:r>
      <w:r w:rsidR="008615F7">
        <w:t>’</w:t>
      </w:r>
      <w:r w:rsidR="008F13B2">
        <w:t>internat</w:t>
      </w:r>
      <w:r w:rsidR="004C5581">
        <w:t xml:space="preserve">ional. </w:t>
      </w:r>
      <w:r w:rsidR="00DB0F91">
        <w:t>Par son</w:t>
      </w:r>
      <w:r w:rsidR="004C5581">
        <w:t xml:space="preserve"> </w:t>
      </w:r>
      <w:r w:rsidR="00AF4C02">
        <w:t>attitude</w:t>
      </w:r>
      <w:r w:rsidR="00DB0F91">
        <w:t xml:space="preserve"> dans la présente affaire, le</w:t>
      </w:r>
      <w:r w:rsidR="004C5581">
        <w:t xml:space="preserve"> Gouvernement</w:t>
      </w:r>
      <w:r w:rsidR="008F13B2">
        <w:t xml:space="preserve"> </w:t>
      </w:r>
      <w:r w:rsidR="00DB0F91">
        <w:t>aurait</w:t>
      </w:r>
      <w:r w:rsidR="001F2BF2">
        <w:t xml:space="preserve"> </w:t>
      </w:r>
      <w:r w:rsidR="004C5581">
        <w:t>méconn</w:t>
      </w:r>
      <w:r w:rsidR="00DB0F91">
        <w:t xml:space="preserve">u </w:t>
      </w:r>
      <w:r w:rsidR="004C5581">
        <w:t>l</w:t>
      </w:r>
      <w:r w:rsidR="008615F7">
        <w:t>’</w:t>
      </w:r>
      <w:r w:rsidR="004C5581">
        <w:t>arrêt de la Cour dans l</w:t>
      </w:r>
      <w:r w:rsidR="008615F7">
        <w:t>’</w:t>
      </w:r>
      <w:r w:rsidR="004C5581">
        <w:t xml:space="preserve">affaire </w:t>
      </w:r>
      <w:r w:rsidR="004C5581" w:rsidRPr="004F3E2F">
        <w:rPr>
          <w:i/>
        </w:rPr>
        <w:t>Sampanis et autres</w:t>
      </w:r>
      <w:r w:rsidR="004C5581">
        <w:t xml:space="preserve"> </w:t>
      </w:r>
      <w:r w:rsidR="00DB0F91">
        <w:t>(</w:t>
      </w:r>
      <w:r w:rsidR="004C5581">
        <w:t>précitée</w:t>
      </w:r>
      <w:r w:rsidR="00DB0F91">
        <w:t>)</w:t>
      </w:r>
      <w:r w:rsidR="004C5581">
        <w:t xml:space="preserve"> et </w:t>
      </w:r>
      <w:r w:rsidR="00866D4A">
        <w:t>suscité</w:t>
      </w:r>
      <w:r w:rsidR="004C5581">
        <w:t xml:space="preserve"> des doutes quant à sa </w:t>
      </w:r>
      <w:r w:rsidR="004C5581" w:rsidRPr="00866D4A">
        <w:t xml:space="preserve">volonté </w:t>
      </w:r>
      <w:r w:rsidRPr="00866D4A">
        <w:t xml:space="preserve">de </w:t>
      </w:r>
      <w:r w:rsidR="00866D4A" w:rsidRPr="00866D4A">
        <w:t>fournir tous les éléments relatifs aux faits de</w:t>
      </w:r>
      <w:r w:rsidRPr="00866D4A">
        <w:t xml:space="preserve"> la présente affaire.</w:t>
      </w:r>
    </w:p>
    <w:p w:rsidR="001635E2" w:rsidRDefault="004F3E2F" w:rsidP="00076451">
      <w:pPr>
        <w:pStyle w:val="JuPara"/>
      </w:pPr>
      <w:r>
        <w:fldChar w:fldCharType="begin"/>
      </w:r>
      <w:r>
        <w:instrText xml:space="preserve"> SEQ level0 \*arabic </w:instrText>
      </w:r>
      <w:r>
        <w:fldChar w:fldCharType="separate"/>
      </w:r>
      <w:r w:rsidR="00554499">
        <w:rPr>
          <w:noProof/>
        </w:rPr>
        <w:t>59</w:t>
      </w:r>
      <w:r>
        <w:fldChar w:fldCharType="end"/>
      </w:r>
      <w:r>
        <w:t xml:space="preserve">.  Les requérants </w:t>
      </w:r>
      <w:r w:rsidR="006152CF">
        <w:t xml:space="preserve">soulignent </w:t>
      </w:r>
      <w:r w:rsidR="00DB0F91">
        <w:t xml:space="preserve">ensuite </w:t>
      </w:r>
      <w:r w:rsidR="006152CF">
        <w:t>qu</w:t>
      </w:r>
      <w:r w:rsidR="00B973B8">
        <w:t xml:space="preserve">e, </w:t>
      </w:r>
      <w:r w:rsidR="006152CF">
        <w:t xml:space="preserve">en dépit </w:t>
      </w:r>
      <w:r w:rsidR="009F40C6">
        <w:t>du redécoupage de la carte scolaire</w:t>
      </w:r>
      <w:r w:rsidR="006152CF">
        <w:t xml:space="preserve"> </w:t>
      </w:r>
      <w:r w:rsidR="00055B79">
        <w:t>de</w:t>
      </w:r>
      <w:r w:rsidR="006152CF">
        <w:t xml:space="preserve"> 2008 (</w:t>
      </w:r>
      <w:r w:rsidR="00B973B8">
        <w:t xml:space="preserve">qui aurait étendu </w:t>
      </w:r>
      <w:r w:rsidR="00055B79">
        <w:t>le secteur d</w:t>
      </w:r>
      <w:r w:rsidR="008615F7">
        <w:t>’</w:t>
      </w:r>
      <w:r w:rsidR="00055B79">
        <w:t>affectation</w:t>
      </w:r>
      <w:r w:rsidR="00B973B8">
        <w:t xml:space="preserve"> </w:t>
      </w:r>
      <w:r w:rsidR="006152CF">
        <w:t>de la 4</w:t>
      </w:r>
      <w:r w:rsidR="006152CF" w:rsidRPr="006152CF">
        <w:rPr>
          <w:vertAlign w:val="superscript"/>
        </w:rPr>
        <w:t>e</w:t>
      </w:r>
      <w:r w:rsidR="00055B79">
        <w:t> </w:t>
      </w:r>
      <w:r w:rsidR="006152CF">
        <w:t xml:space="preserve">école </w:t>
      </w:r>
      <w:r w:rsidR="00055B79">
        <w:t>afin qu</w:t>
      </w:r>
      <w:r w:rsidR="008615F7">
        <w:t>’</w:t>
      </w:r>
      <w:r w:rsidR="00055B79">
        <w:t>il</w:t>
      </w:r>
      <w:r w:rsidR="00B973B8">
        <w:t xml:space="preserve"> englobât</w:t>
      </w:r>
      <w:r w:rsidR="006152CF">
        <w:t xml:space="preserve"> le nouveau lotissement des </w:t>
      </w:r>
      <w:r w:rsidR="00055B79">
        <w:t>R</w:t>
      </w:r>
      <w:r w:rsidR="006152CF">
        <w:t xml:space="preserve">oms </w:t>
      </w:r>
      <w:r w:rsidR="00B973B8">
        <w:t xml:space="preserve">rattaché </w:t>
      </w:r>
      <w:r w:rsidR="006152CF">
        <w:t>jusqu</w:t>
      </w:r>
      <w:r w:rsidR="008615F7">
        <w:t>’</w:t>
      </w:r>
      <w:r w:rsidR="006152CF">
        <w:t xml:space="preserve">alors </w:t>
      </w:r>
      <w:r w:rsidR="00B973B8">
        <w:t>à</w:t>
      </w:r>
      <w:r w:rsidR="006152CF">
        <w:t xml:space="preserve"> la 1</w:t>
      </w:r>
      <w:r w:rsidR="006152CF" w:rsidRPr="006152CF">
        <w:rPr>
          <w:vertAlign w:val="superscript"/>
        </w:rPr>
        <w:t>re</w:t>
      </w:r>
      <w:r w:rsidR="006152CF">
        <w:t xml:space="preserve"> école), les élèves roms du nouveau lotissement ne fréquentaient pas la 1</w:t>
      </w:r>
      <w:r w:rsidR="006152CF" w:rsidRPr="006152CF">
        <w:rPr>
          <w:vertAlign w:val="superscript"/>
        </w:rPr>
        <w:t>re</w:t>
      </w:r>
      <w:r w:rsidR="006152CF">
        <w:t xml:space="preserve"> école située à 2,4 kilomètres d</w:t>
      </w:r>
      <w:r w:rsidR="00B973B8">
        <w:t>e chez eux</w:t>
      </w:r>
      <w:r w:rsidR="006152CF">
        <w:t>, mais étaient transportés par bus à la 4</w:t>
      </w:r>
      <w:r w:rsidR="006152CF" w:rsidRPr="006152CF">
        <w:rPr>
          <w:vertAlign w:val="superscript"/>
        </w:rPr>
        <w:t>e</w:t>
      </w:r>
      <w:r w:rsidR="006152CF">
        <w:t xml:space="preserve"> école, distante de 2,5 kilomètres du lotissement.</w:t>
      </w:r>
      <w:r w:rsidR="00EC69F4">
        <w:t xml:space="preserve"> L</w:t>
      </w:r>
      <w:r w:rsidR="00055B79">
        <w:t xml:space="preserve">e redécoupage de la carte scolaire </w:t>
      </w:r>
      <w:r w:rsidR="00C56C12">
        <w:t>de</w:t>
      </w:r>
      <w:r w:rsidR="00EC69F4">
        <w:t xml:space="preserve"> 2008 a</w:t>
      </w:r>
      <w:r w:rsidR="00B973B8">
        <w:t>urait</w:t>
      </w:r>
      <w:r w:rsidR="00EC69F4">
        <w:t xml:space="preserve"> simplement couvert la ségrégation persistante </w:t>
      </w:r>
      <w:r w:rsidR="00EC69F4" w:rsidRPr="00C56C12">
        <w:t xml:space="preserve">des </w:t>
      </w:r>
      <w:r w:rsidR="00B973B8" w:rsidRPr="00C56C12">
        <w:t>R</w:t>
      </w:r>
      <w:r w:rsidR="00EC69F4" w:rsidRPr="00C56C12">
        <w:t>oms d</w:t>
      </w:r>
      <w:r w:rsidR="008615F7">
        <w:t>’</w:t>
      </w:r>
      <w:r w:rsidR="00EC69F4" w:rsidRPr="00C56C12">
        <w:t>un voile de « légalité formaliste ».</w:t>
      </w:r>
    </w:p>
    <w:p w:rsidR="00610FE8" w:rsidRDefault="00610FE8" w:rsidP="00076451">
      <w:pPr>
        <w:pStyle w:val="JuPara"/>
      </w:pPr>
      <w:r>
        <w:fldChar w:fldCharType="begin"/>
      </w:r>
      <w:r>
        <w:instrText xml:space="preserve"> SEQ level0 \*arabic </w:instrText>
      </w:r>
      <w:r>
        <w:fldChar w:fldCharType="separate"/>
      </w:r>
      <w:r w:rsidR="00554499">
        <w:rPr>
          <w:noProof/>
        </w:rPr>
        <w:t>60</w:t>
      </w:r>
      <w:r>
        <w:fldChar w:fldCharType="end"/>
      </w:r>
      <w:r>
        <w:t xml:space="preserve">.  Les requérants soutiennent </w:t>
      </w:r>
      <w:r w:rsidR="00C56C12">
        <w:t xml:space="preserve">enfin </w:t>
      </w:r>
      <w:r>
        <w:t>que l</w:t>
      </w:r>
      <w:r w:rsidR="00055B79">
        <w:t>e manquement</w:t>
      </w:r>
      <w:r>
        <w:t xml:space="preserve"> des autorités </w:t>
      </w:r>
      <w:r w:rsidR="00055B79">
        <w:t xml:space="preserve">à </w:t>
      </w:r>
      <w:r>
        <w:t>prendre des mesures pour fermer la 4</w:t>
      </w:r>
      <w:r w:rsidRPr="00610FE8">
        <w:rPr>
          <w:vertAlign w:val="superscript"/>
        </w:rPr>
        <w:t>e</w:t>
      </w:r>
      <w:r>
        <w:t xml:space="preserve"> école et </w:t>
      </w:r>
      <w:r w:rsidR="00B973B8">
        <w:t>de répartir</w:t>
      </w:r>
      <w:r>
        <w:t xml:space="preserve"> les élèves de celle-ci </w:t>
      </w:r>
      <w:r w:rsidR="00B973B8">
        <w:t>dans</w:t>
      </w:r>
      <w:r>
        <w:t xml:space="preserve"> les autres écoles de la commune de Sofades n</w:t>
      </w:r>
      <w:r w:rsidR="008615F7">
        <w:t>’</w:t>
      </w:r>
      <w:r>
        <w:t>est pas le résultat d</w:t>
      </w:r>
      <w:r w:rsidR="008615F7">
        <w:t>’</w:t>
      </w:r>
      <w:r>
        <w:t xml:space="preserve">obstacles </w:t>
      </w:r>
      <w:r w:rsidR="00C56C12">
        <w:t>d</w:t>
      </w:r>
      <w:r w:rsidR="008615F7">
        <w:t>’</w:t>
      </w:r>
      <w:r w:rsidR="00C56C12">
        <w:t xml:space="preserve">ordre </w:t>
      </w:r>
      <w:r>
        <w:t>léga</w:t>
      </w:r>
      <w:r w:rsidR="00C56C12">
        <w:t>l</w:t>
      </w:r>
      <w:r>
        <w:t xml:space="preserve"> ou pratique, mais celui de </w:t>
      </w:r>
      <w:r w:rsidR="00C56C12">
        <w:t>l</w:t>
      </w:r>
      <w:r w:rsidR="008615F7">
        <w:t>’</w:t>
      </w:r>
      <w:r w:rsidR="00C56C12">
        <w:t>opposition</w:t>
      </w:r>
      <w:r>
        <w:t xml:space="preserve"> à l</w:t>
      </w:r>
      <w:r w:rsidR="008615F7">
        <w:t>’</w:t>
      </w:r>
      <w:r>
        <w:t xml:space="preserve">intégration des élèves roms </w:t>
      </w:r>
      <w:r w:rsidR="00C56C12">
        <w:t xml:space="preserve">manifestée </w:t>
      </w:r>
      <w:r>
        <w:t>par la société locale</w:t>
      </w:r>
      <w:r w:rsidR="00382031">
        <w:t xml:space="preserve"> </w:t>
      </w:r>
      <w:r w:rsidR="00C56C12">
        <w:t>devant</w:t>
      </w:r>
      <w:r w:rsidR="00382031">
        <w:t xml:space="preserve"> laquelle l</w:t>
      </w:r>
      <w:r w:rsidR="008615F7">
        <w:t>’</w:t>
      </w:r>
      <w:r w:rsidR="00382031">
        <w:t>Etat a</w:t>
      </w:r>
      <w:r w:rsidR="00B973B8">
        <w:t>urait</w:t>
      </w:r>
      <w:r w:rsidR="00382031">
        <w:t xml:space="preserve"> </w:t>
      </w:r>
      <w:r w:rsidR="00C56C12">
        <w:t>plié</w:t>
      </w:r>
      <w:r w:rsidR="00382031">
        <w:t>.</w:t>
      </w:r>
    </w:p>
    <w:p w:rsidR="00807582" w:rsidRDefault="00807582" w:rsidP="00807582">
      <w:pPr>
        <w:pStyle w:val="JuHA"/>
      </w:pPr>
      <w:r>
        <w:t>B.  Appréciation de la Cour</w:t>
      </w:r>
    </w:p>
    <w:p w:rsidR="00807582" w:rsidRDefault="00807582" w:rsidP="00807582">
      <w:pPr>
        <w:pStyle w:val="JuH1"/>
      </w:pPr>
      <w:r>
        <w:t>1.  Principes généraux</w:t>
      </w:r>
    </w:p>
    <w:p w:rsidR="000452C4" w:rsidRDefault="000452C4" w:rsidP="000452C4">
      <w:pPr>
        <w:pStyle w:val="JuPara"/>
        <w:rPr>
          <w:rStyle w:val="sb8d990e2"/>
        </w:rPr>
      </w:pPr>
      <w:r>
        <w:rPr>
          <w:rStyle w:val="sb8d990e2"/>
        </w:rPr>
        <w:fldChar w:fldCharType="begin"/>
      </w:r>
      <w:r>
        <w:rPr>
          <w:rStyle w:val="sb8d990e2"/>
        </w:rPr>
        <w:instrText xml:space="preserve"> SEQ level0 \*arabic </w:instrText>
      </w:r>
      <w:r>
        <w:rPr>
          <w:rStyle w:val="sb8d990e2"/>
        </w:rPr>
        <w:fldChar w:fldCharType="separate"/>
      </w:r>
      <w:r w:rsidR="00554499">
        <w:rPr>
          <w:rStyle w:val="sb8d990e2"/>
          <w:noProof/>
        </w:rPr>
        <w:t>61</w:t>
      </w:r>
      <w:r>
        <w:rPr>
          <w:rStyle w:val="sb8d990e2"/>
        </w:rPr>
        <w:fldChar w:fldCharType="end"/>
      </w:r>
      <w:r>
        <w:rPr>
          <w:rStyle w:val="sb8d990e2"/>
        </w:rPr>
        <w:t>.  La Cour rappelle que, selon sa jurisprudence bien établie, le droit à l</w:t>
      </w:r>
      <w:r w:rsidR="008615F7">
        <w:rPr>
          <w:rStyle w:val="sb8d990e2"/>
        </w:rPr>
        <w:t>’</w:t>
      </w:r>
      <w:r>
        <w:rPr>
          <w:rStyle w:val="sb8d990e2"/>
        </w:rPr>
        <w:t>instruction, tel qu</w:t>
      </w:r>
      <w:r w:rsidR="008615F7">
        <w:rPr>
          <w:rStyle w:val="sb8d990e2"/>
        </w:rPr>
        <w:t>’</w:t>
      </w:r>
      <w:r>
        <w:rPr>
          <w:rStyle w:val="sb8d990e2"/>
        </w:rPr>
        <w:t>il est prévu par la première phrase de l</w:t>
      </w:r>
      <w:r w:rsidR="008615F7">
        <w:rPr>
          <w:rStyle w:val="sb8d990e2"/>
        </w:rPr>
        <w:t>’</w:t>
      </w:r>
      <w:r>
        <w:rPr>
          <w:rStyle w:val="sb8d990e2"/>
        </w:rPr>
        <w:t>article 2 du Protocole n</w:t>
      </w:r>
      <w:r w:rsidRPr="00506B02">
        <w:rPr>
          <w:rStyle w:val="sea881cdf"/>
          <w:vertAlign w:val="superscript"/>
        </w:rPr>
        <w:t>o</w:t>
      </w:r>
      <w:r>
        <w:rPr>
          <w:rStyle w:val="sb8d990e2"/>
        </w:rPr>
        <w:t xml:space="preserve"> 1 à la Convention, garantit à quiconque relève de la juridiction des Etats contractants « un droit d</w:t>
      </w:r>
      <w:r w:rsidR="008615F7">
        <w:rPr>
          <w:rStyle w:val="sb8d990e2"/>
        </w:rPr>
        <w:t>’</w:t>
      </w:r>
      <w:r>
        <w:rPr>
          <w:rStyle w:val="sb8d990e2"/>
        </w:rPr>
        <w:t>accès aux établissements scolaires existant à un moment donné », l</w:t>
      </w:r>
      <w:r w:rsidR="008615F7">
        <w:rPr>
          <w:rStyle w:val="sb8d990e2"/>
        </w:rPr>
        <w:t>’</w:t>
      </w:r>
      <w:r>
        <w:rPr>
          <w:rStyle w:val="sb8d990e2"/>
        </w:rPr>
        <w:t>accès à ces derniers ne formant qu</w:t>
      </w:r>
      <w:r w:rsidR="008615F7">
        <w:rPr>
          <w:rStyle w:val="sb8d990e2"/>
        </w:rPr>
        <w:t>’</w:t>
      </w:r>
      <w:r>
        <w:rPr>
          <w:rStyle w:val="sb8d990e2"/>
        </w:rPr>
        <w:t>une partie de ce droit fondamental. Pour que ce droit « produise des effets utiles, il faut encore, notamment, que l</w:t>
      </w:r>
      <w:r w:rsidR="008615F7">
        <w:rPr>
          <w:rStyle w:val="sb8d990e2"/>
        </w:rPr>
        <w:t>’</w:t>
      </w:r>
      <w:r>
        <w:rPr>
          <w:rStyle w:val="sb8d990e2"/>
        </w:rPr>
        <w:t>individu qui en est titulaire ait la possibilité de tirer un bénéfice de l</w:t>
      </w:r>
      <w:r w:rsidR="008615F7">
        <w:rPr>
          <w:rStyle w:val="sb8d990e2"/>
        </w:rPr>
        <w:t>’</w:t>
      </w:r>
      <w:r>
        <w:rPr>
          <w:rStyle w:val="sb8d990e2"/>
        </w:rPr>
        <w:t>enseignement suivi, c</w:t>
      </w:r>
      <w:r w:rsidR="008615F7">
        <w:rPr>
          <w:rStyle w:val="sb8d990e2"/>
        </w:rPr>
        <w:t>’</w:t>
      </w:r>
      <w:r>
        <w:rPr>
          <w:rStyle w:val="sb8d990e2"/>
        </w:rPr>
        <w:t>est-à-dire le droit d</w:t>
      </w:r>
      <w:r w:rsidR="008615F7">
        <w:rPr>
          <w:rStyle w:val="sb8d990e2"/>
        </w:rPr>
        <w:t>’</w:t>
      </w:r>
      <w:r>
        <w:rPr>
          <w:rStyle w:val="sb8d990e2"/>
        </w:rPr>
        <w:t>obtenir, conformément aux règles en vigueur dans chaque Etat, sous une forme ou une autre, la reconnaissance officielle des études accomplies » (</w:t>
      </w:r>
      <w:r>
        <w:rPr>
          <w:rStyle w:val="s6b621b36"/>
          <w:i/>
        </w:rPr>
        <w:t>A</w:t>
      </w:r>
      <w:r w:rsidRPr="001847DD">
        <w:rPr>
          <w:rStyle w:val="s6b621b36"/>
          <w:i/>
        </w:rPr>
        <w:t xml:space="preserve">ffaire </w:t>
      </w:r>
      <w:r>
        <w:rPr>
          <w:rStyle w:val="s6b621b36"/>
          <w:i/>
        </w:rPr>
        <w:t>« </w:t>
      </w:r>
      <w:r w:rsidRPr="001847DD">
        <w:rPr>
          <w:rStyle w:val="s6b621b36"/>
          <w:i/>
        </w:rPr>
        <w:t>relative à certains aspects du régime linguistique de l</w:t>
      </w:r>
      <w:r w:rsidR="008615F7">
        <w:rPr>
          <w:rStyle w:val="s6b621b36"/>
          <w:i/>
        </w:rPr>
        <w:t>’</w:t>
      </w:r>
      <w:r w:rsidRPr="001847DD">
        <w:rPr>
          <w:rStyle w:val="s6b621b36"/>
          <w:i/>
        </w:rPr>
        <w:t>enseignement en Belgique</w:t>
      </w:r>
      <w:r w:rsidRPr="001847DD">
        <w:rPr>
          <w:rStyle w:val="sb8d990e2"/>
          <w:i/>
        </w:rPr>
        <w:t> »</w:t>
      </w:r>
      <w:r>
        <w:rPr>
          <w:rStyle w:val="sb8d990e2"/>
        </w:rPr>
        <w:t>, 23 juillet 1968, §§ 3-5, série A n</w:t>
      </w:r>
      <w:r w:rsidRPr="00506B02">
        <w:rPr>
          <w:rStyle w:val="sea881cdf"/>
          <w:vertAlign w:val="superscript"/>
        </w:rPr>
        <w:t>o</w:t>
      </w:r>
      <w:r>
        <w:rPr>
          <w:rStyle w:val="sb8d990e2"/>
        </w:rPr>
        <w:t xml:space="preserve"> 6 ; </w:t>
      </w:r>
      <w:r w:rsidRPr="001847DD">
        <w:rPr>
          <w:rStyle w:val="s6b621b36"/>
          <w:i/>
        </w:rPr>
        <w:t>Kjeldsen, Busk Madsen et Pedersen c. Danemark</w:t>
      </w:r>
      <w:r>
        <w:rPr>
          <w:rStyle w:val="sb8d990e2"/>
        </w:rPr>
        <w:t>, 7 décembre 1976, § 52, série A n</w:t>
      </w:r>
      <w:r w:rsidRPr="00506B02">
        <w:rPr>
          <w:rStyle w:val="sea881cdf"/>
          <w:vertAlign w:val="superscript"/>
        </w:rPr>
        <w:t>o</w:t>
      </w:r>
      <w:r>
        <w:rPr>
          <w:rStyle w:val="sb8d990e2"/>
        </w:rPr>
        <w:t xml:space="preserve"> 23 ; </w:t>
      </w:r>
      <w:r w:rsidRPr="001847DD">
        <w:rPr>
          <w:rStyle w:val="s6b621b36"/>
          <w:i/>
        </w:rPr>
        <w:t>Leyla Şahin c. Turquie</w:t>
      </w:r>
      <w:r>
        <w:rPr>
          <w:rStyle w:val="s6b621b36"/>
        </w:rPr>
        <w:t xml:space="preserve"> </w:t>
      </w:r>
      <w:r>
        <w:rPr>
          <w:rStyle w:val="sb8d990e2"/>
        </w:rPr>
        <w:t>[GC], n</w:t>
      </w:r>
      <w:r w:rsidRPr="00506B02">
        <w:rPr>
          <w:rStyle w:val="sea881cdf"/>
          <w:vertAlign w:val="superscript"/>
        </w:rPr>
        <w:t>o</w:t>
      </w:r>
      <w:r>
        <w:rPr>
          <w:rStyle w:val="sb8d990e2"/>
        </w:rPr>
        <w:t xml:space="preserve"> 44774/98, § 152, CEDH 2005</w:t>
      </w:r>
      <w:r>
        <w:rPr>
          <w:rStyle w:val="sb8d990e2"/>
        </w:rPr>
        <w:noBreakHyphen/>
        <w:t xml:space="preserve">XI, et </w:t>
      </w:r>
      <w:r w:rsidRPr="003D4B6B">
        <w:rPr>
          <w:rStyle w:val="s7d2086b4"/>
          <w:i/>
        </w:rPr>
        <w:t>Oršuš et autres</w:t>
      </w:r>
      <w:r>
        <w:rPr>
          <w:rStyle w:val="s7d2086b4"/>
        </w:rPr>
        <w:t>, précité, § 146</w:t>
      </w:r>
      <w:r>
        <w:rPr>
          <w:rStyle w:val="sb8d990e2"/>
        </w:rPr>
        <w:t>).</w:t>
      </w:r>
    </w:p>
    <w:p w:rsidR="000452C4" w:rsidRDefault="000452C4" w:rsidP="000452C4">
      <w:pPr>
        <w:pStyle w:val="JuPara"/>
        <w:rPr>
          <w:rStyle w:val="sb8d990e2"/>
        </w:rPr>
      </w:pPr>
      <w:r>
        <w:rPr>
          <w:rStyle w:val="sb8d990e2"/>
        </w:rPr>
        <w:fldChar w:fldCharType="begin"/>
      </w:r>
      <w:r>
        <w:rPr>
          <w:rStyle w:val="sb8d990e2"/>
        </w:rPr>
        <w:instrText xml:space="preserve"> SEQ level0 \*arabic </w:instrText>
      </w:r>
      <w:r>
        <w:rPr>
          <w:rStyle w:val="sb8d990e2"/>
        </w:rPr>
        <w:fldChar w:fldCharType="separate"/>
      </w:r>
      <w:r w:rsidR="00554499">
        <w:rPr>
          <w:rStyle w:val="sb8d990e2"/>
          <w:noProof/>
        </w:rPr>
        <w:t>62</w:t>
      </w:r>
      <w:r>
        <w:rPr>
          <w:rStyle w:val="sb8d990e2"/>
        </w:rPr>
        <w:fldChar w:fldCharType="end"/>
      </w:r>
      <w:r>
        <w:rPr>
          <w:rStyle w:val="sb8d990e2"/>
        </w:rPr>
        <w:t>.  </w:t>
      </w:r>
      <w:r w:rsidRPr="00172CD0">
        <w:rPr>
          <w:rStyle w:val="sb8d990e2"/>
        </w:rPr>
        <w:t>Dans l</w:t>
      </w:r>
      <w:r w:rsidR="008615F7">
        <w:rPr>
          <w:rStyle w:val="sb8d990e2"/>
        </w:rPr>
        <w:t>’</w:t>
      </w:r>
      <w:r w:rsidRPr="00172CD0">
        <w:rPr>
          <w:rStyle w:val="sb8d990e2"/>
        </w:rPr>
        <w:t xml:space="preserve">arrêt </w:t>
      </w:r>
      <w:r w:rsidRPr="00172CD0">
        <w:rPr>
          <w:rStyle w:val="s7d2086b4"/>
          <w:i/>
        </w:rPr>
        <w:t xml:space="preserve">Oršuš et autres </w:t>
      </w:r>
      <w:r>
        <w:rPr>
          <w:rStyle w:val="s7d2086b4"/>
        </w:rPr>
        <w:t>(précité)</w:t>
      </w:r>
      <w:r w:rsidRPr="00172CD0">
        <w:rPr>
          <w:rStyle w:val="s7d2086b4"/>
        </w:rPr>
        <w:t>, la Cour a souligné que</w:t>
      </w:r>
      <w:r>
        <w:rPr>
          <w:rStyle w:val="s7d2086b4"/>
        </w:rPr>
        <w:t>,</w:t>
      </w:r>
      <w:r w:rsidRPr="00172CD0">
        <w:rPr>
          <w:rStyle w:val="s7d2086b4"/>
        </w:rPr>
        <w:t xml:space="preserve"> bien que cette affaire concern</w:t>
      </w:r>
      <w:r>
        <w:rPr>
          <w:rStyle w:val="s7d2086b4"/>
        </w:rPr>
        <w:t>ât</w:t>
      </w:r>
      <w:r w:rsidRPr="00172CD0">
        <w:rPr>
          <w:rStyle w:val="s7d2086b4"/>
        </w:rPr>
        <w:t xml:space="preserve"> </w:t>
      </w:r>
      <w:r w:rsidRPr="00172CD0">
        <w:rPr>
          <w:rStyle w:val="sb8d990e2"/>
        </w:rPr>
        <w:t xml:space="preserve">la situation individuelle des </w:t>
      </w:r>
      <w:r>
        <w:rPr>
          <w:rStyle w:val="sb8d990e2"/>
        </w:rPr>
        <w:t>requérants, elle</w:t>
      </w:r>
      <w:r w:rsidRPr="00172CD0">
        <w:rPr>
          <w:rStyle w:val="sb8d990e2"/>
        </w:rPr>
        <w:t xml:space="preserve"> ne </w:t>
      </w:r>
      <w:r>
        <w:rPr>
          <w:rStyle w:val="sb8d990e2"/>
        </w:rPr>
        <w:t>pouvait</w:t>
      </w:r>
      <w:r w:rsidRPr="00172CD0">
        <w:rPr>
          <w:rStyle w:val="sb8d990e2"/>
        </w:rPr>
        <w:t xml:space="preserve"> faire abstraction</w:t>
      </w:r>
      <w:r>
        <w:rPr>
          <w:rStyle w:val="sb8d990e2"/>
        </w:rPr>
        <w:t xml:space="preserve"> de ce que ceux-ci appartenaient</w:t>
      </w:r>
      <w:r w:rsidRPr="00172CD0">
        <w:rPr>
          <w:rStyle w:val="sb8d990e2"/>
        </w:rPr>
        <w:t xml:space="preserve"> à la minorité rom</w:t>
      </w:r>
      <w:r>
        <w:rPr>
          <w:rStyle w:val="sb8d990e2"/>
        </w:rPr>
        <w:t xml:space="preserve"> et qu</w:t>
      </w:r>
      <w:r w:rsidR="008615F7">
        <w:rPr>
          <w:rStyle w:val="sb8d990e2"/>
        </w:rPr>
        <w:t>’</w:t>
      </w:r>
      <w:r>
        <w:rPr>
          <w:rStyle w:val="sb8d990e2"/>
        </w:rPr>
        <w:t xml:space="preserve">elle tiendrait compte dans son analyse du fait que, par son histoire, la minorité rom était un type particulier de minorité vulnérable ayant besoin </w:t>
      </w:r>
      <w:r w:rsidRPr="00172CD0">
        <w:rPr>
          <w:rStyle w:val="sb8d990e2"/>
        </w:rPr>
        <w:t>d</w:t>
      </w:r>
      <w:r w:rsidR="008615F7">
        <w:rPr>
          <w:rStyle w:val="sb8d990e2"/>
        </w:rPr>
        <w:t>’</w:t>
      </w:r>
      <w:r w:rsidRPr="00172CD0">
        <w:rPr>
          <w:rStyle w:val="sb8d990e2"/>
        </w:rPr>
        <w:t>une protection spéciale</w:t>
      </w:r>
      <w:r>
        <w:rPr>
          <w:rStyle w:val="sb8d990e2"/>
        </w:rPr>
        <w:t>. La Cour rappelle également que, c</w:t>
      </w:r>
      <w:r w:rsidRPr="00172CD0">
        <w:rPr>
          <w:rStyle w:val="sb8d990e2"/>
        </w:rPr>
        <w:t>omme en témoignent les activités de nombreux organismes européens et internationaux et les recommandations des organes du Conseil de l</w:t>
      </w:r>
      <w:r w:rsidR="008615F7">
        <w:rPr>
          <w:rStyle w:val="sb8d990e2"/>
        </w:rPr>
        <w:t>’</w:t>
      </w:r>
      <w:r w:rsidRPr="00172CD0">
        <w:rPr>
          <w:rStyle w:val="sb8d990e2"/>
        </w:rPr>
        <w:t>Europe, cette protection s</w:t>
      </w:r>
      <w:r w:rsidR="008615F7">
        <w:rPr>
          <w:rStyle w:val="sb8d990e2"/>
        </w:rPr>
        <w:t>’</w:t>
      </w:r>
      <w:r w:rsidRPr="00172CD0">
        <w:rPr>
          <w:rStyle w:val="sb8d990e2"/>
        </w:rPr>
        <w:t>étend également au domaine de l</w:t>
      </w:r>
      <w:r w:rsidR="008615F7">
        <w:rPr>
          <w:rStyle w:val="sb8d990e2"/>
        </w:rPr>
        <w:t>’</w:t>
      </w:r>
      <w:r w:rsidRPr="00172CD0">
        <w:rPr>
          <w:rStyle w:val="sb8d990e2"/>
        </w:rPr>
        <w:t>éducation.</w:t>
      </w:r>
      <w:r>
        <w:rPr>
          <w:rStyle w:val="sb8d990e2"/>
        </w:rPr>
        <w:t xml:space="preserve"> C</w:t>
      </w:r>
      <w:r w:rsidRPr="00172CD0">
        <w:rPr>
          <w:rStyle w:val="sb8d990e2"/>
        </w:rPr>
        <w:t>omme indiqué dans de précédentes affaires, la vulnérabilité des Roms/Tsiganes implique d</w:t>
      </w:r>
      <w:r w:rsidR="008615F7">
        <w:rPr>
          <w:rStyle w:val="sb8d990e2"/>
        </w:rPr>
        <w:t>’</w:t>
      </w:r>
      <w:r w:rsidRPr="00172CD0">
        <w:rPr>
          <w:rStyle w:val="sb8d990e2"/>
        </w:rPr>
        <w:t xml:space="preserve">accorder une attention spéciale à leurs besoins et à leur mode de vie propre tant dans le cadre réglementaire considéré que lors de la prise de décisions dans des cas particuliers </w:t>
      </w:r>
      <w:r>
        <w:rPr>
          <w:rStyle w:val="sb8d990e2"/>
        </w:rPr>
        <w:t>(</w:t>
      </w:r>
      <w:r w:rsidRPr="00172CD0">
        <w:rPr>
          <w:rStyle w:val="s7d2086b4"/>
          <w:i/>
        </w:rPr>
        <w:t>Oršuš et autres</w:t>
      </w:r>
      <w:r w:rsidRPr="00C56BA1">
        <w:rPr>
          <w:rStyle w:val="sb8d990e2"/>
        </w:rPr>
        <w:t>,</w:t>
      </w:r>
      <w:r>
        <w:rPr>
          <w:rStyle w:val="sb8d990e2"/>
        </w:rPr>
        <w:t xml:space="preserve"> </w:t>
      </w:r>
      <w:r>
        <w:rPr>
          <w:rStyle w:val="s7d2086b4"/>
        </w:rPr>
        <w:t>précité</w:t>
      </w:r>
      <w:r w:rsidRPr="00C56BA1">
        <w:rPr>
          <w:rStyle w:val="sb8d990e2"/>
        </w:rPr>
        <w:t>,</w:t>
      </w:r>
      <w:r>
        <w:rPr>
          <w:rStyle w:val="sb8d990e2"/>
        </w:rPr>
        <w:t xml:space="preserve"> §§ 147-148).</w:t>
      </w:r>
    </w:p>
    <w:p w:rsidR="000452C4" w:rsidRDefault="000452C4" w:rsidP="000452C4">
      <w:pPr>
        <w:pStyle w:val="JuPara"/>
        <w:rPr>
          <w:rStyle w:val="sb8d990e2"/>
        </w:rPr>
      </w:pPr>
      <w:r>
        <w:rPr>
          <w:rStyle w:val="sb8d990e2"/>
        </w:rPr>
        <w:fldChar w:fldCharType="begin"/>
      </w:r>
      <w:r>
        <w:rPr>
          <w:rStyle w:val="sb8d990e2"/>
        </w:rPr>
        <w:instrText xml:space="preserve"> SEQ level0 \*arabic </w:instrText>
      </w:r>
      <w:r>
        <w:rPr>
          <w:rStyle w:val="sb8d990e2"/>
        </w:rPr>
        <w:fldChar w:fldCharType="separate"/>
      </w:r>
      <w:r w:rsidR="00554499">
        <w:rPr>
          <w:rStyle w:val="sb8d990e2"/>
          <w:noProof/>
        </w:rPr>
        <w:t>63</w:t>
      </w:r>
      <w:r>
        <w:rPr>
          <w:rStyle w:val="sb8d990e2"/>
        </w:rPr>
        <w:fldChar w:fldCharType="end"/>
      </w:r>
      <w:r>
        <w:rPr>
          <w:rStyle w:val="sb8d990e2"/>
        </w:rPr>
        <w:t xml:space="preserve">.  La Cour rappelle </w:t>
      </w:r>
      <w:r w:rsidR="003C3E20">
        <w:rPr>
          <w:rStyle w:val="sb8d990e2"/>
        </w:rPr>
        <w:t>ensuite</w:t>
      </w:r>
      <w:r>
        <w:rPr>
          <w:rStyle w:val="sb8d990e2"/>
        </w:rPr>
        <w:t xml:space="preserve"> que l</w:t>
      </w:r>
      <w:r w:rsidR="008615F7">
        <w:rPr>
          <w:rStyle w:val="sb8d990e2"/>
        </w:rPr>
        <w:t>’</w:t>
      </w:r>
      <w:r>
        <w:rPr>
          <w:rStyle w:val="sb8d990e2"/>
        </w:rPr>
        <w:t>article 14 n</w:t>
      </w:r>
      <w:r w:rsidR="008615F7">
        <w:rPr>
          <w:rStyle w:val="sb8d990e2"/>
        </w:rPr>
        <w:t>’</w:t>
      </w:r>
      <w:r>
        <w:rPr>
          <w:rStyle w:val="sb8d990e2"/>
        </w:rPr>
        <w:t>a pas d</w:t>
      </w:r>
      <w:r w:rsidR="008615F7">
        <w:rPr>
          <w:rStyle w:val="sb8d990e2"/>
        </w:rPr>
        <w:t>’</w:t>
      </w:r>
      <w:r>
        <w:rPr>
          <w:rStyle w:val="sb8d990e2"/>
        </w:rPr>
        <w:t>existence autonome, mais qu</w:t>
      </w:r>
      <w:r w:rsidR="008615F7">
        <w:rPr>
          <w:rStyle w:val="sb8d990e2"/>
        </w:rPr>
        <w:t>’</w:t>
      </w:r>
      <w:r>
        <w:rPr>
          <w:rStyle w:val="sb8d990e2"/>
        </w:rPr>
        <w:t>il joue un rôle important de complément des autres dispositions de la Convention et de ses Protocoles puisqu</w:t>
      </w:r>
      <w:r w:rsidR="008615F7">
        <w:rPr>
          <w:rStyle w:val="sb8d990e2"/>
        </w:rPr>
        <w:t>’</w:t>
      </w:r>
      <w:r>
        <w:rPr>
          <w:rStyle w:val="sb8d990e2"/>
        </w:rPr>
        <w:t>il protège les individus placés dans des situations analogues contre toute discrimination dans la jouissance des droits énoncés dans ces autres dispositions. Lorsqu</w:t>
      </w:r>
      <w:r w:rsidR="008615F7">
        <w:rPr>
          <w:rStyle w:val="sb8d990e2"/>
        </w:rPr>
        <w:t>’</w:t>
      </w:r>
      <w:r>
        <w:rPr>
          <w:rStyle w:val="sb8d990e2"/>
        </w:rPr>
        <w:t>elle a constaté une violation séparée d</w:t>
      </w:r>
      <w:r w:rsidR="008615F7">
        <w:rPr>
          <w:rStyle w:val="sb8d990e2"/>
        </w:rPr>
        <w:t>’</w:t>
      </w:r>
      <w:r>
        <w:rPr>
          <w:rStyle w:val="sb8d990e2"/>
        </w:rPr>
        <w:t>une clause normative de la Convention, invoquée devant elle à la fois comme telle et conjointement avec l</w:t>
      </w:r>
      <w:r w:rsidR="008615F7">
        <w:rPr>
          <w:rStyle w:val="sb8d990e2"/>
        </w:rPr>
        <w:t>’</w:t>
      </w:r>
      <w:r>
        <w:rPr>
          <w:rStyle w:val="sb8d990e2"/>
        </w:rPr>
        <w:t>article 14, elle n</w:t>
      </w:r>
      <w:r w:rsidR="008615F7">
        <w:rPr>
          <w:rStyle w:val="sb8d990e2"/>
        </w:rPr>
        <w:t>’</w:t>
      </w:r>
      <w:r>
        <w:rPr>
          <w:rStyle w:val="sb8d990e2"/>
        </w:rPr>
        <w:t>a en général pas besoin d</w:t>
      </w:r>
      <w:r w:rsidR="008615F7">
        <w:rPr>
          <w:rStyle w:val="sb8d990e2"/>
        </w:rPr>
        <w:t>’</w:t>
      </w:r>
      <w:r>
        <w:rPr>
          <w:rStyle w:val="sb8d990e2"/>
        </w:rPr>
        <w:t>examiner aussi l</w:t>
      </w:r>
      <w:r w:rsidR="008615F7">
        <w:rPr>
          <w:rStyle w:val="sb8d990e2"/>
        </w:rPr>
        <w:t>’</w:t>
      </w:r>
      <w:r>
        <w:rPr>
          <w:rStyle w:val="sb8d990e2"/>
        </w:rPr>
        <w:t>affaire sous l</w:t>
      </w:r>
      <w:r w:rsidR="008615F7">
        <w:rPr>
          <w:rStyle w:val="sb8d990e2"/>
        </w:rPr>
        <w:t>’</w:t>
      </w:r>
      <w:r>
        <w:rPr>
          <w:rStyle w:val="sb8d990e2"/>
        </w:rPr>
        <w:t>angle de celui-ci, mais il en va autrement si une nette inégalité de traitement dans la jouissance du droit en cause constitue un aspect fondamental du litige (</w:t>
      </w:r>
      <w:r w:rsidRPr="001847DD">
        <w:rPr>
          <w:rStyle w:val="s6b621b36"/>
          <w:i/>
        </w:rPr>
        <w:t>Dudgeon c.</w:t>
      </w:r>
      <w:r>
        <w:rPr>
          <w:rStyle w:val="s6b621b36"/>
          <w:i/>
        </w:rPr>
        <w:t> </w:t>
      </w:r>
      <w:r w:rsidRPr="001847DD">
        <w:rPr>
          <w:rStyle w:val="s6b621b36"/>
          <w:i/>
        </w:rPr>
        <w:t>Royaume-Uni</w:t>
      </w:r>
      <w:r>
        <w:rPr>
          <w:rStyle w:val="sb8d990e2"/>
        </w:rPr>
        <w:t>, 22 octobre 1981, § 67, série A n</w:t>
      </w:r>
      <w:r w:rsidRPr="00313F90">
        <w:rPr>
          <w:rStyle w:val="sea881cdf"/>
          <w:vertAlign w:val="superscript"/>
        </w:rPr>
        <w:t>o</w:t>
      </w:r>
      <w:r>
        <w:rPr>
          <w:rStyle w:val="sb8d990e2"/>
        </w:rPr>
        <w:t xml:space="preserve"> 45, </w:t>
      </w:r>
      <w:r w:rsidRPr="001847DD">
        <w:rPr>
          <w:rStyle w:val="s6b621b36"/>
          <w:i/>
        </w:rPr>
        <w:t>Chassagnou et autres c. France</w:t>
      </w:r>
      <w:r>
        <w:rPr>
          <w:rStyle w:val="sb8d990e2"/>
        </w:rPr>
        <w:t xml:space="preserve"> [GC], n</w:t>
      </w:r>
      <w:r w:rsidRPr="00313F90">
        <w:rPr>
          <w:rStyle w:val="sea881cdf"/>
          <w:vertAlign w:val="superscript"/>
        </w:rPr>
        <w:t>os</w:t>
      </w:r>
      <w:r>
        <w:rPr>
          <w:rStyle w:val="sb8d990e2"/>
        </w:rPr>
        <w:t xml:space="preserve"> 25088/94, 28331/95 et 28443/95, § 89, CEDH 1999</w:t>
      </w:r>
      <w:r>
        <w:rPr>
          <w:rStyle w:val="sb8d990e2"/>
        </w:rPr>
        <w:noBreakHyphen/>
        <w:t xml:space="preserve">III, et </w:t>
      </w:r>
      <w:r w:rsidRPr="001847DD">
        <w:rPr>
          <w:rStyle w:val="s6b621b36"/>
          <w:i/>
        </w:rPr>
        <w:t>Timichev c. Russie</w:t>
      </w:r>
      <w:r>
        <w:rPr>
          <w:rStyle w:val="sb8d990e2"/>
        </w:rPr>
        <w:t>, n</w:t>
      </w:r>
      <w:r w:rsidRPr="00313F90">
        <w:rPr>
          <w:rStyle w:val="sea881cdf"/>
          <w:vertAlign w:val="superscript"/>
        </w:rPr>
        <w:t>os</w:t>
      </w:r>
      <w:r>
        <w:rPr>
          <w:rStyle w:val="sb8d990e2"/>
        </w:rPr>
        <w:t xml:space="preserve"> 55762/00 et 55974/00, § 53, CEDH 2005</w:t>
      </w:r>
      <w:r>
        <w:rPr>
          <w:rStyle w:val="sb8d990e2"/>
        </w:rPr>
        <w:noBreakHyphen/>
        <w:t>XII).</w:t>
      </w:r>
    </w:p>
    <w:p w:rsidR="000452C4" w:rsidRDefault="000452C4" w:rsidP="000452C4">
      <w:pPr>
        <w:pStyle w:val="JuPara"/>
      </w:pPr>
      <w:r>
        <w:rPr>
          <w:rStyle w:val="sb8d990e2"/>
        </w:rPr>
        <w:fldChar w:fldCharType="begin"/>
      </w:r>
      <w:r>
        <w:rPr>
          <w:rStyle w:val="sb8d990e2"/>
        </w:rPr>
        <w:instrText xml:space="preserve"> SEQ level0 \*arabic </w:instrText>
      </w:r>
      <w:r>
        <w:rPr>
          <w:rStyle w:val="sb8d990e2"/>
        </w:rPr>
        <w:fldChar w:fldCharType="separate"/>
      </w:r>
      <w:r w:rsidR="00554499">
        <w:rPr>
          <w:rStyle w:val="sb8d990e2"/>
          <w:noProof/>
        </w:rPr>
        <w:t>64</w:t>
      </w:r>
      <w:r>
        <w:rPr>
          <w:rStyle w:val="sb8d990e2"/>
        </w:rPr>
        <w:fldChar w:fldCharType="end"/>
      </w:r>
      <w:r>
        <w:rPr>
          <w:rStyle w:val="sb8d990e2"/>
        </w:rPr>
        <w:t>.  La Cour rappelle en</w:t>
      </w:r>
      <w:r w:rsidR="003C3E20">
        <w:rPr>
          <w:rStyle w:val="sb8d990e2"/>
        </w:rPr>
        <w:t>fin</w:t>
      </w:r>
      <w:r>
        <w:rPr>
          <w:rStyle w:val="sb8d990e2"/>
        </w:rPr>
        <w:t xml:space="preserve"> avoir également admis qu</w:t>
      </w:r>
      <w:r w:rsidR="008615F7">
        <w:rPr>
          <w:rStyle w:val="sb8d990e2"/>
        </w:rPr>
        <w:t>’</w:t>
      </w:r>
      <w:r>
        <w:rPr>
          <w:rStyle w:val="sb8d990e2"/>
        </w:rPr>
        <w:t>une discrimination potentiellement contraire à la Convention pouvait résulter d</w:t>
      </w:r>
      <w:r w:rsidR="008615F7">
        <w:rPr>
          <w:rStyle w:val="sb8d990e2"/>
        </w:rPr>
        <w:t>’</w:t>
      </w:r>
      <w:r>
        <w:rPr>
          <w:rStyle w:val="sb8d990e2"/>
        </w:rPr>
        <w:t>une situation de fait (</w:t>
      </w:r>
      <w:r w:rsidRPr="001847DD">
        <w:rPr>
          <w:rStyle w:val="s6b621b36"/>
          <w:i/>
        </w:rPr>
        <w:t>Zarb Adami c. Malte</w:t>
      </w:r>
      <w:r>
        <w:rPr>
          <w:rStyle w:val="sb8d990e2"/>
        </w:rPr>
        <w:t>, n</w:t>
      </w:r>
      <w:r w:rsidRPr="005F53A7">
        <w:rPr>
          <w:rStyle w:val="sea881cdf"/>
          <w:vertAlign w:val="superscript"/>
        </w:rPr>
        <w:t>o</w:t>
      </w:r>
      <w:r>
        <w:rPr>
          <w:rStyle w:val="sb8d990e2"/>
        </w:rPr>
        <w:t> 17209/02, § 76, CEDH 2006</w:t>
      </w:r>
      <w:r>
        <w:rPr>
          <w:rStyle w:val="sb8d990e2"/>
        </w:rPr>
        <w:noBreakHyphen/>
        <w:t>VIII). Lorsqu</w:t>
      </w:r>
      <w:r w:rsidR="008615F7">
        <w:rPr>
          <w:rStyle w:val="sb8d990e2"/>
        </w:rPr>
        <w:t>’</w:t>
      </w:r>
      <w:r>
        <w:rPr>
          <w:rStyle w:val="sb8d990e2"/>
        </w:rPr>
        <w:t>un requérant produit un commencement de preuve de discrimination relativement à l</w:t>
      </w:r>
      <w:r w:rsidR="008615F7">
        <w:rPr>
          <w:rStyle w:val="sb8d990e2"/>
        </w:rPr>
        <w:t>’</w:t>
      </w:r>
      <w:r>
        <w:rPr>
          <w:rStyle w:val="sb8d990e2"/>
        </w:rPr>
        <w:t>effet d</w:t>
      </w:r>
      <w:r w:rsidR="008615F7">
        <w:rPr>
          <w:rStyle w:val="sb8d990e2"/>
        </w:rPr>
        <w:t>’</w:t>
      </w:r>
      <w:r>
        <w:rPr>
          <w:rStyle w:val="sb8d990e2"/>
        </w:rPr>
        <w:t>une mesure ou d</w:t>
      </w:r>
      <w:r w:rsidR="008615F7">
        <w:rPr>
          <w:rStyle w:val="sb8d990e2"/>
        </w:rPr>
        <w:t>’</w:t>
      </w:r>
      <w:r>
        <w:rPr>
          <w:rStyle w:val="sb8d990e2"/>
        </w:rPr>
        <w:t>une pratique, la charge de la preuve incombe ensuite à l</w:t>
      </w:r>
      <w:r w:rsidR="008615F7">
        <w:rPr>
          <w:rStyle w:val="sb8d990e2"/>
        </w:rPr>
        <w:t>’</w:t>
      </w:r>
      <w:r>
        <w:rPr>
          <w:rStyle w:val="sb8d990e2"/>
        </w:rPr>
        <w:t>Etat défendeur, qui doit démontrer que la différence de traitement est justifiée (</w:t>
      </w:r>
      <w:r w:rsidRPr="001847DD">
        <w:rPr>
          <w:rStyle w:val="s6b621b36"/>
          <w:i/>
        </w:rPr>
        <w:t>D.H. et autres</w:t>
      </w:r>
      <w:r>
        <w:rPr>
          <w:rStyle w:val="sb8d990e2"/>
        </w:rPr>
        <w:t>, précité, §§ 180 et 189).</w:t>
      </w:r>
    </w:p>
    <w:p w:rsidR="00807582" w:rsidRDefault="00807582" w:rsidP="00807582">
      <w:pPr>
        <w:pStyle w:val="JuH1"/>
      </w:pPr>
      <w:r>
        <w:t>2.  Application de</w:t>
      </w:r>
      <w:r w:rsidR="001969E0">
        <w:t xml:space="preserve"> ces</w:t>
      </w:r>
      <w:r>
        <w:t xml:space="preserve"> principes </w:t>
      </w:r>
      <w:r w:rsidR="00DD234D">
        <w:t xml:space="preserve">à la présente </w:t>
      </w:r>
      <w:r>
        <w:t>espèce</w:t>
      </w:r>
    </w:p>
    <w:p w:rsidR="000F6FD5" w:rsidRDefault="00152218" w:rsidP="00076451">
      <w:pPr>
        <w:pStyle w:val="JuPara"/>
      </w:pPr>
      <w:r w:rsidRPr="007F7B6A">
        <w:fldChar w:fldCharType="begin"/>
      </w:r>
      <w:r w:rsidRPr="007F7B6A">
        <w:instrText xml:space="preserve"> SEQ level0 \*arabic </w:instrText>
      </w:r>
      <w:r w:rsidRPr="007F7B6A">
        <w:fldChar w:fldCharType="separate"/>
      </w:r>
      <w:r w:rsidR="00554499">
        <w:rPr>
          <w:noProof/>
        </w:rPr>
        <w:t>65</w:t>
      </w:r>
      <w:r w:rsidRPr="007F7B6A">
        <w:fldChar w:fldCharType="end"/>
      </w:r>
      <w:r w:rsidRPr="007F7B6A">
        <w:t>.  </w:t>
      </w:r>
      <w:r w:rsidR="00850C21" w:rsidRPr="007F7B6A">
        <w:t xml:space="preserve">La Cour considère </w:t>
      </w:r>
      <w:r w:rsidR="003C3E20" w:rsidRPr="007F7B6A">
        <w:t>d</w:t>
      </w:r>
      <w:r w:rsidR="008615F7">
        <w:t>’</w:t>
      </w:r>
      <w:r w:rsidR="003C3E20" w:rsidRPr="007F7B6A">
        <w:t xml:space="preserve">abord </w:t>
      </w:r>
      <w:r w:rsidR="00850C21" w:rsidRPr="007F7B6A">
        <w:t>qu</w:t>
      </w:r>
      <w:r w:rsidR="008615F7">
        <w:t>’</w:t>
      </w:r>
      <w:r w:rsidR="00850C21" w:rsidRPr="007F7B6A">
        <w:t>il ne fait aucun doute, comme cela</w:t>
      </w:r>
      <w:r w:rsidR="00850C21">
        <w:t xml:space="preserve"> ressort des faits de la cause et des arguments des parties, que </w:t>
      </w:r>
      <w:r w:rsidR="00C128FD">
        <w:t>la 4</w:t>
      </w:r>
      <w:r w:rsidR="00C128FD" w:rsidRPr="00C128FD">
        <w:rPr>
          <w:vertAlign w:val="superscript"/>
        </w:rPr>
        <w:t>e</w:t>
      </w:r>
      <w:r w:rsidR="00C128FD">
        <w:t xml:space="preserve"> école primaire de Sofades est une école exclusivement fréquentée par </w:t>
      </w:r>
      <w:r w:rsidR="00AC60DB">
        <w:t>d</w:t>
      </w:r>
      <w:r w:rsidR="00C128FD">
        <w:t xml:space="preserve">es </w:t>
      </w:r>
      <w:r w:rsidR="00AC60DB">
        <w:t>enfants r</w:t>
      </w:r>
      <w:r w:rsidR="00C128FD">
        <w:t>oms. Y sont scolarisés non seulement les enfants rom</w:t>
      </w:r>
      <w:r w:rsidR="00AC60DB">
        <w:t>s</w:t>
      </w:r>
      <w:r w:rsidR="00C128FD">
        <w:t xml:space="preserve"> qui vivent dans l</w:t>
      </w:r>
      <w:r w:rsidR="008615F7">
        <w:t>’</w:t>
      </w:r>
      <w:r w:rsidR="00C128FD">
        <w:t>ancien lotissement de Sofades, au sein duquel l</w:t>
      </w:r>
      <w:r w:rsidR="008615F7">
        <w:t>’</w:t>
      </w:r>
      <w:r w:rsidR="00C128FD">
        <w:t xml:space="preserve">école est située, mais </w:t>
      </w:r>
      <w:r w:rsidR="00916AED">
        <w:t xml:space="preserve">aussi les enfants qui vivent dans le nouveau lotissement et qui sont transportés </w:t>
      </w:r>
      <w:r w:rsidR="00AC60DB">
        <w:t>en car</w:t>
      </w:r>
      <w:r w:rsidR="00916AED">
        <w:t xml:space="preserve"> </w:t>
      </w:r>
      <w:r w:rsidR="00094644">
        <w:t>(paragraphe 8 ci-dessus)</w:t>
      </w:r>
      <w:r w:rsidR="00916AED">
        <w:t>.</w:t>
      </w:r>
      <w:r w:rsidR="00440704">
        <w:t xml:space="preserve"> </w:t>
      </w:r>
      <w:r w:rsidR="003C3E20">
        <w:t>La Cour observe que, e</w:t>
      </w:r>
      <w:r w:rsidR="00440704">
        <w:t xml:space="preserve">n dépit de la règle selon laquelle </w:t>
      </w:r>
      <w:r w:rsidR="00E07A3F">
        <w:t xml:space="preserve">les élèves sont scolarisés </w:t>
      </w:r>
      <w:r w:rsidR="003C3E20">
        <w:t>dans les</w:t>
      </w:r>
      <w:r w:rsidR="00E07A3F">
        <w:t xml:space="preserve"> écoles situées à proximité de leur domicile</w:t>
      </w:r>
      <w:r w:rsidR="00440704">
        <w:t xml:space="preserve">, aucun enfant non rom qui habite dans </w:t>
      </w:r>
      <w:r w:rsidR="00EA4EAF">
        <w:t>le secteur rattaché à la</w:t>
      </w:r>
      <w:r w:rsidR="00440704">
        <w:t xml:space="preserve"> 4</w:t>
      </w:r>
      <w:r w:rsidR="00440704" w:rsidRPr="00440704">
        <w:rPr>
          <w:vertAlign w:val="superscript"/>
        </w:rPr>
        <w:t>e</w:t>
      </w:r>
      <w:r w:rsidR="00EA4EAF">
        <w:t> </w:t>
      </w:r>
      <w:r w:rsidR="00440704">
        <w:t>école n</w:t>
      </w:r>
      <w:r w:rsidR="008615F7">
        <w:t>’</w:t>
      </w:r>
      <w:r w:rsidR="00440704">
        <w:t>est scolarisé dans cette école.</w:t>
      </w:r>
    </w:p>
    <w:p w:rsidR="00440704" w:rsidRDefault="00F23BFB" w:rsidP="00076451">
      <w:pPr>
        <w:pStyle w:val="JuPara"/>
      </w:pPr>
      <w:r>
        <w:fldChar w:fldCharType="begin"/>
      </w:r>
      <w:r>
        <w:instrText xml:space="preserve"> SEQ level0 \*arabic </w:instrText>
      </w:r>
      <w:r>
        <w:fldChar w:fldCharType="separate"/>
      </w:r>
      <w:r w:rsidR="00554499">
        <w:rPr>
          <w:noProof/>
        </w:rPr>
        <w:t>66</w:t>
      </w:r>
      <w:r>
        <w:fldChar w:fldCharType="end"/>
      </w:r>
      <w:r>
        <w:t>.  La C</w:t>
      </w:r>
      <w:r w:rsidR="00440704">
        <w:t>our note</w:t>
      </w:r>
      <w:r w:rsidR="007F7B6A">
        <w:t xml:space="preserve"> ensuite</w:t>
      </w:r>
      <w:r w:rsidR="00440704">
        <w:t>, comme</w:t>
      </w:r>
      <w:r w:rsidR="007F7B6A">
        <w:t xml:space="preserve"> le</w:t>
      </w:r>
      <w:r w:rsidR="00440704">
        <w:t xml:space="preserve"> Gouvernement</w:t>
      </w:r>
      <w:r w:rsidR="007F7B6A">
        <w:t xml:space="preserve"> l</w:t>
      </w:r>
      <w:r w:rsidR="008615F7">
        <w:t>’</w:t>
      </w:r>
      <w:r w:rsidR="007F7B6A">
        <w:t>a lui-même souligné</w:t>
      </w:r>
      <w:r w:rsidR="00440704">
        <w:t xml:space="preserve">, </w:t>
      </w:r>
      <w:r>
        <w:t>que la 4</w:t>
      </w:r>
      <w:r w:rsidRPr="00F23BFB">
        <w:rPr>
          <w:vertAlign w:val="superscript"/>
        </w:rPr>
        <w:t>e</w:t>
      </w:r>
      <w:r w:rsidR="00391CA9">
        <w:t xml:space="preserve"> école n</w:t>
      </w:r>
      <w:r w:rsidR="008615F7">
        <w:t>’</w:t>
      </w:r>
      <w:r w:rsidR="00391CA9">
        <w:t>a</w:t>
      </w:r>
      <w:r>
        <w:t xml:space="preserve"> pas </w:t>
      </w:r>
      <w:r w:rsidR="00391CA9">
        <w:t xml:space="preserve">été </w:t>
      </w:r>
      <w:r w:rsidR="00AC60DB">
        <w:t>cré</w:t>
      </w:r>
      <w:r w:rsidR="00391CA9">
        <w:t xml:space="preserve">ée </w:t>
      </w:r>
      <w:r>
        <w:t>comme une école devant accueillir exclusivement des enfants rom</w:t>
      </w:r>
      <w:r w:rsidR="00AC60DB">
        <w:t>s</w:t>
      </w:r>
      <w:r>
        <w:t xml:space="preserve"> et </w:t>
      </w:r>
      <w:r w:rsidR="00AC60DB">
        <w:t>qu</w:t>
      </w:r>
      <w:r w:rsidR="008615F7">
        <w:t>’</w:t>
      </w:r>
      <w:r w:rsidR="00AC60DB">
        <w:t xml:space="preserve">elle </w:t>
      </w:r>
      <w:r>
        <w:t xml:space="preserve">ne comporte pas de classes préparatoires ou de soutien pour </w:t>
      </w:r>
      <w:r w:rsidR="00AC60DB">
        <w:t xml:space="preserve">des </w:t>
      </w:r>
      <w:r>
        <w:t>enfants rom</w:t>
      </w:r>
      <w:r w:rsidR="00AC60DB">
        <w:t>s</w:t>
      </w:r>
      <w:r>
        <w:t xml:space="preserve"> souhaitant intégrer l</w:t>
      </w:r>
      <w:r w:rsidR="008615F7">
        <w:t>’</w:t>
      </w:r>
      <w:r>
        <w:t xml:space="preserve">école publique normale </w:t>
      </w:r>
      <w:r w:rsidR="007F7B6A">
        <w:t>après avoir</w:t>
      </w:r>
      <w:r>
        <w:t xml:space="preserve"> acquis le niveau scolaire suffisant.</w:t>
      </w:r>
      <w:r w:rsidR="00282685">
        <w:t xml:space="preserve"> </w:t>
      </w:r>
      <w:r w:rsidR="007F7B6A">
        <w:t>La 4</w:t>
      </w:r>
      <w:r w:rsidR="007F7B6A" w:rsidRPr="00F23BFB">
        <w:rPr>
          <w:vertAlign w:val="superscript"/>
        </w:rPr>
        <w:t>e</w:t>
      </w:r>
      <w:r w:rsidR="007F7B6A">
        <w:t xml:space="preserve"> école </w:t>
      </w:r>
      <w:r w:rsidR="00282685">
        <w:t xml:space="preserve">constitue une école </w:t>
      </w:r>
      <w:r w:rsidR="00AC60DB">
        <w:t xml:space="preserve">ordinaire </w:t>
      </w:r>
      <w:r w:rsidR="00282685">
        <w:t xml:space="preserve">offrant un programme similaire à celui des autres écoles primaires publiques et </w:t>
      </w:r>
      <w:r w:rsidR="00375ABD">
        <w:t>permettant en fin de cycle le passage à l</w:t>
      </w:r>
      <w:r w:rsidR="008615F7">
        <w:t>’</w:t>
      </w:r>
      <w:r w:rsidR="00375ABD">
        <w:t>école secondaire.</w:t>
      </w:r>
    </w:p>
    <w:p w:rsidR="008515CD" w:rsidRDefault="00375ABD" w:rsidP="008515CD">
      <w:pPr>
        <w:pStyle w:val="JuPara"/>
        <w:rPr>
          <w:noProof/>
        </w:rPr>
      </w:pPr>
      <w:r>
        <w:fldChar w:fldCharType="begin"/>
      </w:r>
      <w:r>
        <w:instrText xml:space="preserve"> SEQ level0 \*arabic </w:instrText>
      </w:r>
      <w:r>
        <w:fldChar w:fldCharType="separate"/>
      </w:r>
      <w:r w:rsidR="00554499">
        <w:rPr>
          <w:noProof/>
        </w:rPr>
        <w:t>67</w:t>
      </w:r>
      <w:r>
        <w:fldChar w:fldCharType="end"/>
      </w:r>
      <w:r>
        <w:t>.  </w:t>
      </w:r>
      <w:r w:rsidR="00391CA9">
        <w:t xml:space="preserve">La Cour </w:t>
      </w:r>
      <w:r w:rsidR="007F7B6A">
        <w:t>relève encore</w:t>
      </w:r>
      <w:r w:rsidR="00391CA9">
        <w:t xml:space="preserve"> que les autorités compétentes, notamment le ministère de l</w:t>
      </w:r>
      <w:r w:rsidR="008615F7">
        <w:t>’</w:t>
      </w:r>
      <w:r w:rsidR="00391CA9">
        <w:t xml:space="preserve">Education, étaient </w:t>
      </w:r>
      <w:r w:rsidR="007F7B6A">
        <w:t>informé</w:t>
      </w:r>
      <w:r w:rsidR="00E75D47">
        <w:t>e</w:t>
      </w:r>
      <w:r w:rsidR="007F7B6A">
        <w:t>s de l</w:t>
      </w:r>
      <w:r w:rsidR="008615F7">
        <w:t>’</w:t>
      </w:r>
      <w:r w:rsidR="007F7B6A">
        <w:t>existence d</w:t>
      </w:r>
      <w:r w:rsidR="008615F7">
        <w:t>’</w:t>
      </w:r>
      <w:r w:rsidR="007F7B6A">
        <w:t>une</w:t>
      </w:r>
      <w:r w:rsidR="00B005BC">
        <w:t xml:space="preserve"> ségrégation ethnique </w:t>
      </w:r>
      <w:r w:rsidR="007F7B6A">
        <w:t>des Roms de Sofades en matière de</w:t>
      </w:r>
      <w:r w:rsidR="00B005BC">
        <w:t xml:space="preserve"> scolarisation. Cette situation était exposée dans les lettres d</w:t>
      </w:r>
      <w:r w:rsidR="003D4EC8">
        <w:t>u</w:t>
      </w:r>
      <w:r w:rsidR="00B005BC">
        <w:t xml:space="preserve"> 30 mai et </w:t>
      </w:r>
      <w:r w:rsidR="003D4EC8">
        <w:t xml:space="preserve">du </w:t>
      </w:r>
      <w:r w:rsidR="00B005BC">
        <w:t>20 juillet 2009 adressée</w:t>
      </w:r>
      <w:r w:rsidR="00094644">
        <w:t xml:space="preserve">s </w:t>
      </w:r>
      <w:r w:rsidR="007F7B6A">
        <w:t xml:space="preserve">à ce </w:t>
      </w:r>
      <w:r w:rsidR="00094644">
        <w:t>ministère (paragraphe 13</w:t>
      </w:r>
      <w:r w:rsidR="00B005BC">
        <w:t xml:space="preserve"> ci-dessus)</w:t>
      </w:r>
      <w:r w:rsidR="0047773B">
        <w:t>,</w:t>
      </w:r>
      <w:r w:rsidR="00B005BC">
        <w:t xml:space="preserve"> mais aussi dans le rapport envoyé </w:t>
      </w:r>
      <w:r w:rsidR="0047773B">
        <w:t xml:space="preserve">par la </w:t>
      </w:r>
      <w:r w:rsidR="003D4EC8">
        <w:t>d</w:t>
      </w:r>
      <w:r w:rsidR="0047773B">
        <w:t>irection régionale de l</w:t>
      </w:r>
      <w:r w:rsidR="008615F7">
        <w:t>’</w:t>
      </w:r>
      <w:r w:rsidR="0047773B">
        <w:t>éducation de Th</w:t>
      </w:r>
      <w:r w:rsidR="00F37825">
        <w:t>e</w:t>
      </w:r>
      <w:r w:rsidR="0047773B">
        <w:t>ssal</w:t>
      </w:r>
      <w:r w:rsidR="00094644">
        <w:t xml:space="preserve">ie à ce </w:t>
      </w:r>
      <w:r w:rsidR="007F7B6A">
        <w:t xml:space="preserve">même </w:t>
      </w:r>
      <w:r w:rsidR="00094644">
        <w:t>ministère (paragraphe 17</w:t>
      </w:r>
      <w:r w:rsidR="0047773B">
        <w:t xml:space="preserve"> ci-dessus)</w:t>
      </w:r>
      <w:r w:rsidR="007F7B6A">
        <w:t>. Le rapport en question</w:t>
      </w:r>
      <w:r w:rsidR="0047773B">
        <w:t xml:space="preserve"> attirait l</w:t>
      </w:r>
      <w:r w:rsidR="008615F7">
        <w:t>’</w:t>
      </w:r>
      <w:r w:rsidR="0047773B">
        <w:t>attention de celui-ci sur la situation existante et sollicitait des instructions</w:t>
      </w:r>
      <w:r w:rsidR="00F824F7">
        <w:t xml:space="preserve"> pour y remédier</w:t>
      </w:r>
      <w:r w:rsidR="0047773B">
        <w:t xml:space="preserve">. </w:t>
      </w:r>
      <w:r w:rsidR="00E87DAC">
        <w:t>Il</w:t>
      </w:r>
      <w:r w:rsidR="008515CD">
        <w:t xml:space="preserve"> préconisait</w:t>
      </w:r>
      <w:r w:rsidR="003D4EC8">
        <w:t>,</w:t>
      </w:r>
      <w:r w:rsidR="008515CD">
        <w:t xml:space="preserve"> pour mettre un terme </w:t>
      </w:r>
      <w:r w:rsidR="008515CD">
        <w:rPr>
          <w:noProof/>
        </w:rPr>
        <w:t>à l</w:t>
      </w:r>
      <w:r w:rsidR="008615F7">
        <w:rPr>
          <w:noProof/>
        </w:rPr>
        <w:t>’</w:t>
      </w:r>
      <w:r w:rsidR="008515CD">
        <w:rPr>
          <w:noProof/>
        </w:rPr>
        <w:t>exclusion sociale et promouvoir l</w:t>
      </w:r>
      <w:r w:rsidR="008615F7">
        <w:rPr>
          <w:noProof/>
        </w:rPr>
        <w:t>’</w:t>
      </w:r>
      <w:r w:rsidR="008515CD">
        <w:rPr>
          <w:noProof/>
        </w:rPr>
        <w:t xml:space="preserve">intégration des </w:t>
      </w:r>
      <w:r w:rsidR="00DB553A">
        <w:rPr>
          <w:noProof/>
        </w:rPr>
        <w:t>R</w:t>
      </w:r>
      <w:r w:rsidR="008515CD">
        <w:rPr>
          <w:noProof/>
        </w:rPr>
        <w:t xml:space="preserve">oms dans tous les niveaux et activités de la société locale, </w:t>
      </w:r>
      <w:r w:rsidR="00DB553A">
        <w:rPr>
          <w:noProof/>
        </w:rPr>
        <w:t>d</w:t>
      </w:r>
      <w:r w:rsidR="008615F7">
        <w:rPr>
          <w:noProof/>
        </w:rPr>
        <w:t>’</w:t>
      </w:r>
      <w:r w:rsidR="008515CD">
        <w:rPr>
          <w:noProof/>
        </w:rPr>
        <w:t xml:space="preserve">éviter </w:t>
      </w:r>
      <w:r w:rsidR="00DB553A">
        <w:rPr>
          <w:noProof/>
        </w:rPr>
        <w:t>de scolariser</w:t>
      </w:r>
      <w:r w:rsidR="008515CD">
        <w:rPr>
          <w:noProof/>
        </w:rPr>
        <w:t xml:space="preserve"> les </w:t>
      </w:r>
      <w:r w:rsidR="003D4EC8">
        <w:rPr>
          <w:noProof/>
        </w:rPr>
        <w:t>R</w:t>
      </w:r>
      <w:r w:rsidR="008515CD">
        <w:rPr>
          <w:noProof/>
        </w:rPr>
        <w:t xml:space="preserve">oms dans des écoles </w:t>
      </w:r>
      <w:r w:rsidR="00DB553A">
        <w:rPr>
          <w:noProof/>
        </w:rPr>
        <w:t xml:space="preserve">fréquentées </w:t>
      </w:r>
      <w:r w:rsidR="008515CD">
        <w:rPr>
          <w:noProof/>
        </w:rPr>
        <w:t xml:space="preserve">exclusivement </w:t>
      </w:r>
      <w:r w:rsidR="00DB553A">
        <w:rPr>
          <w:noProof/>
        </w:rPr>
        <w:t>par des élèves</w:t>
      </w:r>
      <w:r w:rsidR="008515CD">
        <w:rPr>
          <w:noProof/>
        </w:rPr>
        <w:t xml:space="preserve"> rom</w:t>
      </w:r>
      <w:r w:rsidR="00DB553A">
        <w:rPr>
          <w:noProof/>
        </w:rPr>
        <w:t>s</w:t>
      </w:r>
      <w:r w:rsidR="008515CD">
        <w:rPr>
          <w:noProof/>
        </w:rPr>
        <w:t>. Il suggérait</w:t>
      </w:r>
      <w:r w:rsidR="004033FE">
        <w:rPr>
          <w:noProof/>
        </w:rPr>
        <w:t xml:space="preserve"> que de nouvelles écoles fussent construites et</w:t>
      </w:r>
      <w:r w:rsidR="008515CD">
        <w:rPr>
          <w:noProof/>
        </w:rPr>
        <w:t xml:space="preserve"> </w:t>
      </w:r>
      <w:r w:rsidR="004033FE">
        <w:rPr>
          <w:noProof/>
        </w:rPr>
        <w:t>qu</w:t>
      </w:r>
      <w:r w:rsidR="008615F7">
        <w:rPr>
          <w:noProof/>
        </w:rPr>
        <w:t>’</w:t>
      </w:r>
      <w:r w:rsidR="004033FE">
        <w:rPr>
          <w:noProof/>
        </w:rPr>
        <w:t>il fût procédé à</w:t>
      </w:r>
      <w:r w:rsidR="008515CD">
        <w:rPr>
          <w:noProof/>
        </w:rPr>
        <w:t xml:space="preserve"> </w:t>
      </w:r>
      <w:r w:rsidR="00C4050E">
        <w:rPr>
          <w:noProof/>
        </w:rPr>
        <w:t>un redécoupage de la carte scolaire</w:t>
      </w:r>
      <w:r w:rsidR="008515CD">
        <w:rPr>
          <w:noProof/>
        </w:rPr>
        <w:t xml:space="preserve">. Il constatait que la scolarisation des enfants roms </w:t>
      </w:r>
      <w:r w:rsidR="003D4EC8">
        <w:rPr>
          <w:noProof/>
        </w:rPr>
        <w:t>dans les</w:t>
      </w:r>
      <w:r w:rsidR="008515CD">
        <w:rPr>
          <w:noProof/>
        </w:rPr>
        <w:t xml:space="preserve"> écoles déjà existantes de Sofades (1</w:t>
      </w:r>
      <w:r w:rsidR="008515CD" w:rsidRPr="00250A3B">
        <w:rPr>
          <w:noProof/>
          <w:vertAlign w:val="superscript"/>
        </w:rPr>
        <w:t>re</w:t>
      </w:r>
      <w:r w:rsidR="008515CD">
        <w:rPr>
          <w:noProof/>
        </w:rPr>
        <w:t>, 2</w:t>
      </w:r>
      <w:r w:rsidR="008515CD" w:rsidRPr="00250A3B">
        <w:rPr>
          <w:noProof/>
          <w:vertAlign w:val="superscript"/>
        </w:rPr>
        <w:t>e</w:t>
      </w:r>
      <w:r w:rsidR="008515CD">
        <w:rPr>
          <w:noProof/>
        </w:rPr>
        <w:t xml:space="preserve"> et 3</w:t>
      </w:r>
      <w:r w:rsidR="008515CD" w:rsidRPr="007C3205">
        <w:rPr>
          <w:noProof/>
          <w:vertAlign w:val="superscript"/>
        </w:rPr>
        <w:t>e</w:t>
      </w:r>
      <w:r w:rsidR="008515CD">
        <w:rPr>
          <w:noProof/>
        </w:rPr>
        <w:t>) était irréalisable en raison du grand nombre d</w:t>
      </w:r>
      <w:r w:rsidR="008615F7">
        <w:rPr>
          <w:noProof/>
        </w:rPr>
        <w:t>’</w:t>
      </w:r>
      <w:r w:rsidR="008515CD">
        <w:rPr>
          <w:noProof/>
        </w:rPr>
        <w:t>élèves et de l</w:t>
      </w:r>
      <w:r w:rsidR="008615F7">
        <w:rPr>
          <w:noProof/>
        </w:rPr>
        <w:t>’</w:t>
      </w:r>
      <w:r w:rsidR="008515CD">
        <w:rPr>
          <w:noProof/>
        </w:rPr>
        <w:t xml:space="preserve">insuffisance des infrastructures de ces écoles. </w:t>
      </w:r>
      <w:r w:rsidR="00E87DAC">
        <w:rPr>
          <w:noProof/>
        </w:rPr>
        <w:t>Enfin, i</w:t>
      </w:r>
      <w:r w:rsidR="008515CD">
        <w:rPr>
          <w:noProof/>
        </w:rPr>
        <w:t xml:space="preserve">l épinglait </w:t>
      </w:r>
      <w:r w:rsidR="00986B83">
        <w:rPr>
          <w:noProof/>
        </w:rPr>
        <w:t>le refus du conseil municipal de Sofades de fermer la 4</w:t>
      </w:r>
      <w:r w:rsidR="00986B83" w:rsidRPr="00986B83">
        <w:rPr>
          <w:noProof/>
          <w:vertAlign w:val="superscript"/>
        </w:rPr>
        <w:t>e</w:t>
      </w:r>
      <w:r w:rsidR="00E87DAC">
        <w:rPr>
          <w:noProof/>
        </w:rPr>
        <w:t> </w:t>
      </w:r>
      <w:r w:rsidR="00986B83">
        <w:rPr>
          <w:noProof/>
        </w:rPr>
        <w:t>école et surtout les réactions</w:t>
      </w:r>
      <w:r w:rsidR="00E87DAC">
        <w:rPr>
          <w:noProof/>
        </w:rPr>
        <w:t>, qu</w:t>
      </w:r>
      <w:r w:rsidR="008615F7">
        <w:rPr>
          <w:noProof/>
        </w:rPr>
        <w:t>’</w:t>
      </w:r>
      <w:r w:rsidR="00E87DAC">
        <w:rPr>
          <w:noProof/>
        </w:rPr>
        <w:t>il qualifiait de</w:t>
      </w:r>
      <w:r w:rsidR="00986B83">
        <w:rPr>
          <w:noProof/>
        </w:rPr>
        <w:t xml:space="preserve"> d</w:t>
      </w:r>
      <w:r w:rsidR="003D4EC8">
        <w:rPr>
          <w:noProof/>
        </w:rPr>
        <w:t>é</w:t>
      </w:r>
      <w:r w:rsidR="00986B83">
        <w:rPr>
          <w:noProof/>
        </w:rPr>
        <w:t>mesurées</w:t>
      </w:r>
      <w:r w:rsidR="00E87DAC">
        <w:rPr>
          <w:noProof/>
        </w:rPr>
        <w:t>,</w:t>
      </w:r>
      <w:r w:rsidR="00986B83">
        <w:rPr>
          <w:noProof/>
        </w:rPr>
        <w:t xml:space="preserve"> des parents d</w:t>
      </w:r>
      <w:r w:rsidR="008615F7">
        <w:rPr>
          <w:noProof/>
        </w:rPr>
        <w:t>’</w:t>
      </w:r>
      <w:r w:rsidR="00986B83">
        <w:rPr>
          <w:noProof/>
        </w:rPr>
        <w:t>élèves non</w:t>
      </w:r>
      <w:r w:rsidR="003D4EC8">
        <w:rPr>
          <w:noProof/>
        </w:rPr>
        <w:t xml:space="preserve"> </w:t>
      </w:r>
      <w:r w:rsidR="00986B83">
        <w:rPr>
          <w:noProof/>
        </w:rPr>
        <w:t>rom</w:t>
      </w:r>
      <w:r w:rsidR="003D4EC8">
        <w:rPr>
          <w:noProof/>
        </w:rPr>
        <w:t>s</w:t>
      </w:r>
      <w:r w:rsidR="00986B83">
        <w:rPr>
          <w:noProof/>
        </w:rPr>
        <w:t xml:space="preserve"> lors</w:t>
      </w:r>
      <w:r w:rsidR="00E87DAC">
        <w:rPr>
          <w:noProof/>
        </w:rPr>
        <w:t xml:space="preserve"> de l</w:t>
      </w:r>
      <w:r w:rsidR="008615F7">
        <w:rPr>
          <w:noProof/>
        </w:rPr>
        <w:t>’</w:t>
      </w:r>
      <w:r w:rsidR="00E87DAC">
        <w:rPr>
          <w:noProof/>
        </w:rPr>
        <w:t>inscription</w:t>
      </w:r>
      <w:r w:rsidR="00986B83">
        <w:rPr>
          <w:noProof/>
        </w:rPr>
        <w:t xml:space="preserve"> d</w:t>
      </w:r>
      <w:r w:rsidR="008615F7">
        <w:rPr>
          <w:noProof/>
        </w:rPr>
        <w:t>’</w:t>
      </w:r>
      <w:r w:rsidR="00986B83">
        <w:rPr>
          <w:noProof/>
        </w:rPr>
        <w:t>enfants rom</w:t>
      </w:r>
      <w:r w:rsidR="003D4EC8">
        <w:rPr>
          <w:noProof/>
        </w:rPr>
        <w:t>s</w:t>
      </w:r>
      <w:r w:rsidR="00986B83">
        <w:rPr>
          <w:noProof/>
        </w:rPr>
        <w:t xml:space="preserve"> dans d</w:t>
      </w:r>
      <w:r w:rsidR="008615F7">
        <w:rPr>
          <w:noProof/>
        </w:rPr>
        <w:t>’</w:t>
      </w:r>
      <w:r w:rsidR="00986B83">
        <w:rPr>
          <w:noProof/>
        </w:rPr>
        <w:t>autres écoles de Sofades.</w:t>
      </w:r>
    </w:p>
    <w:p w:rsidR="008515CD" w:rsidRDefault="0023062F" w:rsidP="00076451">
      <w:pPr>
        <w:pStyle w:val="JuPara"/>
      </w:pPr>
      <w:r w:rsidRPr="002A2101">
        <w:fldChar w:fldCharType="begin"/>
      </w:r>
      <w:r w:rsidRPr="002A2101">
        <w:instrText xml:space="preserve"> SEQ level0 \*arabic </w:instrText>
      </w:r>
      <w:r w:rsidRPr="002A2101">
        <w:fldChar w:fldCharType="separate"/>
      </w:r>
      <w:r w:rsidR="00554499">
        <w:rPr>
          <w:noProof/>
        </w:rPr>
        <w:t>68</w:t>
      </w:r>
      <w:r w:rsidRPr="002A2101">
        <w:fldChar w:fldCharType="end"/>
      </w:r>
      <w:r w:rsidRPr="002A2101">
        <w:t>.  </w:t>
      </w:r>
      <w:r w:rsidR="00924563">
        <w:t>La Cour note de plus que</w:t>
      </w:r>
      <w:r w:rsidRPr="002A2101">
        <w:t xml:space="preserve">, à une date non précisée en 2009, la </w:t>
      </w:r>
      <w:r w:rsidR="00495062" w:rsidRPr="002A2101">
        <w:t>d</w:t>
      </w:r>
      <w:r w:rsidRPr="002A2101">
        <w:t>irection de l</w:t>
      </w:r>
      <w:r w:rsidR="008615F7">
        <w:t>’</w:t>
      </w:r>
      <w:r w:rsidR="00495062" w:rsidRPr="002A2101">
        <w:t>e</w:t>
      </w:r>
      <w:r w:rsidRPr="002A2101">
        <w:t xml:space="preserve">nseignement primaire de Karditsa </w:t>
      </w:r>
      <w:r w:rsidR="00924563">
        <w:t xml:space="preserve">a </w:t>
      </w:r>
      <w:r w:rsidRPr="002A2101">
        <w:t>soulign</w:t>
      </w:r>
      <w:r w:rsidR="00924563">
        <w:t>é</w:t>
      </w:r>
      <w:r w:rsidRPr="002A2101">
        <w:t xml:space="preserve"> </w:t>
      </w:r>
      <w:r w:rsidR="00DD10B3">
        <w:t>que si l</w:t>
      </w:r>
      <w:r w:rsidR="008615F7">
        <w:t>’</w:t>
      </w:r>
      <w:r w:rsidR="00DD10B3">
        <w:t>on voulait régler le problème de l</w:t>
      </w:r>
      <w:r w:rsidR="008615F7">
        <w:t>’</w:t>
      </w:r>
      <w:r w:rsidR="00DD10B3">
        <w:t>exclusion des Roms, il fallait arrêter aussi de scolariser les enfants roms dans des écoles réservées aux Roms</w:t>
      </w:r>
      <w:r w:rsidR="00094644">
        <w:t xml:space="preserve"> (paragraphe 20</w:t>
      </w:r>
      <w:r w:rsidR="00EA5557">
        <w:t xml:space="preserve"> ci-dessus)</w:t>
      </w:r>
      <w:r>
        <w:t>.</w:t>
      </w:r>
    </w:p>
    <w:p w:rsidR="000F6FD5" w:rsidRDefault="00E55683" w:rsidP="00297401">
      <w:pPr>
        <w:pStyle w:val="JuPara"/>
        <w:rPr>
          <w:noProof/>
        </w:rPr>
      </w:pPr>
      <w:r>
        <w:fldChar w:fldCharType="begin"/>
      </w:r>
      <w:r>
        <w:instrText xml:space="preserve"> SEQ level0 \*arabic </w:instrText>
      </w:r>
      <w:r>
        <w:fldChar w:fldCharType="separate"/>
      </w:r>
      <w:r w:rsidR="00554499">
        <w:rPr>
          <w:noProof/>
        </w:rPr>
        <w:t>69</w:t>
      </w:r>
      <w:r>
        <w:fldChar w:fldCharType="end"/>
      </w:r>
      <w:r>
        <w:t>.  </w:t>
      </w:r>
      <w:r w:rsidR="00924563">
        <w:t>La Cour observe</w:t>
      </w:r>
      <w:r w:rsidR="002A2101">
        <w:t xml:space="preserve"> </w:t>
      </w:r>
      <w:r w:rsidR="00924563">
        <w:t xml:space="preserve">également </w:t>
      </w:r>
      <w:r w:rsidR="002A2101">
        <w:t>que</w:t>
      </w:r>
      <w:r w:rsidR="001A15D4">
        <w:t xml:space="preserve"> les autorités compétentes </w:t>
      </w:r>
      <w:r w:rsidR="00924563">
        <w:t>ont</w:t>
      </w:r>
      <w:r w:rsidR="002A2101">
        <w:t xml:space="preserve"> </w:t>
      </w:r>
      <w:r w:rsidR="001A15D4">
        <w:t>reconn</w:t>
      </w:r>
      <w:r w:rsidR="002A2101">
        <w:t>u</w:t>
      </w:r>
      <w:r w:rsidR="001A15D4">
        <w:t xml:space="preserve"> officiellement l</w:t>
      </w:r>
      <w:r w:rsidR="008615F7">
        <w:t>’</w:t>
      </w:r>
      <w:r w:rsidR="00924563">
        <w:t>existence d</w:t>
      </w:r>
      <w:r w:rsidR="008615F7">
        <w:t>’</w:t>
      </w:r>
      <w:r w:rsidR="00924563">
        <w:t>une</w:t>
      </w:r>
      <w:r w:rsidR="001A15D4">
        <w:t xml:space="preserve"> situation ségrégationniste dans cette école et la nécessité d</w:t>
      </w:r>
      <w:r w:rsidR="008615F7">
        <w:t>’</w:t>
      </w:r>
      <w:r w:rsidR="001A15D4">
        <w:t xml:space="preserve">y mettre un terme. En effet, </w:t>
      </w:r>
      <w:r w:rsidR="00297401">
        <w:t>les démarches des instances précitées ont</w:t>
      </w:r>
      <w:r w:rsidR="005563FD">
        <w:t xml:space="preserve"> incité</w:t>
      </w:r>
      <w:r w:rsidR="005563FD" w:rsidRPr="005563FD">
        <w:t xml:space="preserve"> </w:t>
      </w:r>
      <w:r w:rsidR="005563FD">
        <w:t>le ministère de l</w:t>
      </w:r>
      <w:r w:rsidR="008615F7">
        <w:t>’</w:t>
      </w:r>
      <w:r w:rsidR="005563FD">
        <w:t>Education</w:t>
      </w:r>
      <w:r w:rsidR="00297401">
        <w:t>, du moins dans un premier temps, à</w:t>
      </w:r>
      <w:r w:rsidR="005563FD">
        <w:t xml:space="preserve"> s</w:t>
      </w:r>
      <w:r w:rsidR="008615F7">
        <w:t>’</w:t>
      </w:r>
      <w:r w:rsidR="005563FD">
        <w:t>attaquer au problème</w:t>
      </w:r>
      <w:r w:rsidR="00297401">
        <w:t xml:space="preserve"> : </w:t>
      </w:r>
      <w:r w:rsidR="005563FD">
        <w:t>ainsi</w:t>
      </w:r>
      <w:r w:rsidR="00924563">
        <w:t>,</w:t>
      </w:r>
      <w:r w:rsidR="005563FD">
        <w:t xml:space="preserve"> en 2011, celui-ci </w:t>
      </w:r>
      <w:r w:rsidR="00A12472">
        <w:t>a proposé</w:t>
      </w:r>
      <w:r w:rsidR="00297401">
        <w:t xml:space="preserve"> de transférer</w:t>
      </w:r>
      <w:r w:rsidR="00924563">
        <w:t>,</w:t>
      </w:r>
      <w:r w:rsidR="00297401">
        <w:t xml:space="preserve"> à partir du 1</w:t>
      </w:r>
      <w:r w:rsidR="00297401" w:rsidRPr="00473FA2">
        <w:rPr>
          <w:vertAlign w:val="superscript"/>
        </w:rPr>
        <w:t>er</w:t>
      </w:r>
      <w:r w:rsidR="00297401">
        <w:t xml:space="preserve"> janvier 2012</w:t>
      </w:r>
      <w:r w:rsidR="00924563">
        <w:t>,</w:t>
      </w:r>
      <w:r w:rsidR="00297401">
        <w:t xml:space="preserve"> tous les enfants roms inscrits </w:t>
      </w:r>
      <w:r w:rsidR="00924563">
        <w:t>dans</w:t>
      </w:r>
      <w:r w:rsidR="00297401">
        <w:t xml:space="preserve"> la première classe de la 4</w:t>
      </w:r>
      <w:r w:rsidR="00297401" w:rsidRPr="00473FA2">
        <w:rPr>
          <w:vertAlign w:val="superscript"/>
        </w:rPr>
        <w:t>e</w:t>
      </w:r>
      <w:r w:rsidR="00305A0A">
        <w:t> </w:t>
      </w:r>
      <w:r w:rsidR="00297401">
        <w:t>école dans cinq autres écoles de la commune de Sofades, à savoir les 1</w:t>
      </w:r>
      <w:r w:rsidR="00297401" w:rsidRPr="00473FA2">
        <w:rPr>
          <w:vertAlign w:val="superscript"/>
        </w:rPr>
        <w:t>re</w:t>
      </w:r>
      <w:r w:rsidR="00297401">
        <w:t xml:space="preserve"> et 2</w:t>
      </w:r>
      <w:r w:rsidR="00297401" w:rsidRPr="00473FA2">
        <w:rPr>
          <w:vertAlign w:val="superscript"/>
        </w:rPr>
        <w:t>e</w:t>
      </w:r>
      <w:r w:rsidR="00297401">
        <w:t xml:space="preserve"> écoles primaires de Sofades et les écoles primaires de Kypseli, </w:t>
      </w:r>
      <w:r w:rsidR="00924563">
        <w:t xml:space="preserve">de </w:t>
      </w:r>
      <w:r w:rsidR="00297401">
        <w:t xml:space="preserve">Karpochori et </w:t>
      </w:r>
      <w:r w:rsidR="00924563">
        <w:t xml:space="preserve">de </w:t>
      </w:r>
      <w:r w:rsidR="00297401">
        <w:t xml:space="preserve">Mataraga, et </w:t>
      </w:r>
      <w:r w:rsidR="002A2101">
        <w:t>d</w:t>
      </w:r>
      <w:r w:rsidR="008615F7">
        <w:t>’</w:t>
      </w:r>
      <w:r w:rsidR="00297401">
        <w:t>affecter à ces écoles des éducateurs spécialisés pour faciliter l</w:t>
      </w:r>
      <w:r w:rsidR="008615F7">
        <w:t>’</w:t>
      </w:r>
      <w:r w:rsidR="00297401">
        <w:t>intégrat</w:t>
      </w:r>
      <w:r w:rsidR="00A12472">
        <w:t>ion de</w:t>
      </w:r>
      <w:r w:rsidR="00924563">
        <w:t xml:space="preserve"> ces nouveaux</w:t>
      </w:r>
      <w:r w:rsidR="00A12472">
        <w:t xml:space="preserve"> élèves ; de plus,</w:t>
      </w:r>
      <w:r w:rsidR="00297401">
        <w:t xml:space="preserve"> </w:t>
      </w:r>
      <w:r w:rsidR="00E34230">
        <w:t>le ministère a proposé</w:t>
      </w:r>
      <w:r w:rsidR="00924563">
        <w:t xml:space="preserve">, </w:t>
      </w:r>
      <w:r w:rsidR="00297401">
        <w:t>à partir de l</w:t>
      </w:r>
      <w:r w:rsidR="008615F7">
        <w:t>’</w:t>
      </w:r>
      <w:r w:rsidR="00297401">
        <w:t>année scolaire 2012-2013,</w:t>
      </w:r>
      <w:r w:rsidR="00E34230">
        <w:t xml:space="preserve"> de ne plus inscrire à la 4</w:t>
      </w:r>
      <w:r w:rsidR="00E34230" w:rsidRPr="00E34230">
        <w:rPr>
          <w:vertAlign w:val="superscript"/>
        </w:rPr>
        <w:t>e</w:t>
      </w:r>
      <w:r w:rsidR="00E34230">
        <w:t xml:space="preserve"> école</w:t>
      </w:r>
      <w:r w:rsidR="00297401">
        <w:t xml:space="preserve"> les élèves qui devaient commencer leur scolarité dans le </w:t>
      </w:r>
      <w:r w:rsidR="002A2101">
        <w:t xml:space="preserve">cycle </w:t>
      </w:r>
      <w:r w:rsidR="00297401">
        <w:t>primaire</w:t>
      </w:r>
      <w:r w:rsidR="00E34230">
        <w:t>,</w:t>
      </w:r>
      <w:r w:rsidR="00297401">
        <w:t xml:space="preserve"> mais </w:t>
      </w:r>
      <w:r w:rsidR="00E34230">
        <w:t>de les répartir</w:t>
      </w:r>
      <w:r w:rsidR="00A12472">
        <w:t xml:space="preserve"> dans les écoles précitées. </w:t>
      </w:r>
      <w:r w:rsidR="00E34230">
        <w:t>En outre, l</w:t>
      </w:r>
      <w:r w:rsidR="00297401">
        <w:t xml:space="preserve">e </w:t>
      </w:r>
      <w:r w:rsidR="00297401" w:rsidRPr="00766447">
        <w:rPr>
          <w:noProof/>
        </w:rPr>
        <w:t>secrétaire spécial pour l</w:t>
      </w:r>
      <w:r w:rsidR="008615F7">
        <w:rPr>
          <w:noProof/>
        </w:rPr>
        <w:t>’</w:t>
      </w:r>
      <w:r w:rsidR="00297401" w:rsidRPr="00766447">
        <w:rPr>
          <w:noProof/>
        </w:rPr>
        <w:t>éducation interculturelle</w:t>
      </w:r>
      <w:r w:rsidR="00297401">
        <w:rPr>
          <w:noProof/>
        </w:rPr>
        <w:t xml:space="preserve"> </w:t>
      </w:r>
      <w:r w:rsidR="002A2101">
        <w:rPr>
          <w:noProof/>
        </w:rPr>
        <w:t xml:space="preserve">a </w:t>
      </w:r>
      <w:r w:rsidR="00297401">
        <w:rPr>
          <w:noProof/>
        </w:rPr>
        <w:t>décid</w:t>
      </w:r>
      <w:r w:rsidR="002A2101">
        <w:rPr>
          <w:noProof/>
        </w:rPr>
        <w:t>é</w:t>
      </w:r>
      <w:r w:rsidR="00297401">
        <w:rPr>
          <w:noProof/>
        </w:rPr>
        <w:t xml:space="preserve"> de prendre les mesures nécessaires afin de mettre en œuvre ces propositions</w:t>
      </w:r>
      <w:r w:rsidR="00094644">
        <w:rPr>
          <w:noProof/>
        </w:rPr>
        <w:t xml:space="preserve"> (paragraphes 21-22</w:t>
      </w:r>
      <w:r w:rsidR="005563FD">
        <w:rPr>
          <w:noProof/>
        </w:rPr>
        <w:t xml:space="preserve"> ci-dessus)</w:t>
      </w:r>
      <w:r w:rsidR="00297401">
        <w:rPr>
          <w:noProof/>
        </w:rPr>
        <w:t>.</w:t>
      </w:r>
    </w:p>
    <w:p w:rsidR="005A4C34" w:rsidRDefault="001A15D4" w:rsidP="005A4C34">
      <w:pPr>
        <w:pStyle w:val="JuPara"/>
        <w:rPr>
          <w:noProof/>
        </w:rPr>
      </w:pPr>
      <w:r>
        <w:rPr>
          <w:noProof/>
        </w:rPr>
        <w:fldChar w:fldCharType="begin"/>
      </w:r>
      <w:r>
        <w:rPr>
          <w:noProof/>
        </w:rPr>
        <w:instrText xml:space="preserve"> SEQ level0 \*arabic </w:instrText>
      </w:r>
      <w:r>
        <w:rPr>
          <w:noProof/>
        </w:rPr>
        <w:fldChar w:fldCharType="separate"/>
      </w:r>
      <w:r w:rsidR="00554499">
        <w:rPr>
          <w:noProof/>
        </w:rPr>
        <w:t>70</w:t>
      </w:r>
      <w:r>
        <w:rPr>
          <w:noProof/>
        </w:rPr>
        <w:fldChar w:fldCharType="end"/>
      </w:r>
      <w:r>
        <w:rPr>
          <w:noProof/>
        </w:rPr>
        <w:t>.  </w:t>
      </w:r>
      <w:r w:rsidR="000C5D36">
        <w:rPr>
          <w:noProof/>
        </w:rPr>
        <w:t>La Cour relève que</w:t>
      </w:r>
      <w:r w:rsidR="000627BB">
        <w:rPr>
          <w:noProof/>
        </w:rPr>
        <w:t xml:space="preserve"> ces propositions</w:t>
      </w:r>
      <w:r w:rsidR="00121887">
        <w:rPr>
          <w:noProof/>
        </w:rPr>
        <w:t>, adoptées à partir de 2010,</w:t>
      </w:r>
      <w:r w:rsidR="000627BB">
        <w:rPr>
          <w:noProof/>
        </w:rPr>
        <w:t xml:space="preserve"> ne se sont </w:t>
      </w:r>
      <w:r w:rsidR="000C5D36">
        <w:rPr>
          <w:noProof/>
        </w:rPr>
        <w:t xml:space="preserve">toutefois </w:t>
      </w:r>
      <w:r w:rsidR="000627BB">
        <w:rPr>
          <w:noProof/>
        </w:rPr>
        <w:t xml:space="preserve">pas </w:t>
      </w:r>
      <w:r w:rsidR="002A2101">
        <w:rPr>
          <w:noProof/>
        </w:rPr>
        <w:t>concrétisées</w:t>
      </w:r>
      <w:r w:rsidR="000627BB">
        <w:rPr>
          <w:noProof/>
        </w:rPr>
        <w:t xml:space="preserve"> en raison de l</w:t>
      </w:r>
      <w:r w:rsidR="008615F7">
        <w:rPr>
          <w:noProof/>
        </w:rPr>
        <w:t>’</w:t>
      </w:r>
      <w:r w:rsidR="000627BB">
        <w:rPr>
          <w:noProof/>
        </w:rPr>
        <w:t xml:space="preserve">hostilité manifestée les parents </w:t>
      </w:r>
      <w:r w:rsidR="00094644">
        <w:rPr>
          <w:noProof/>
        </w:rPr>
        <w:t>d</w:t>
      </w:r>
      <w:r w:rsidR="008615F7">
        <w:rPr>
          <w:noProof/>
        </w:rPr>
        <w:t>’</w:t>
      </w:r>
      <w:r w:rsidR="00094644">
        <w:rPr>
          <w:noProof/>
        </w:rPr>
        <w:t>enfants non roms (paragraphe 22</w:t>
      </w:r>
      <w:r w:rsidR="000627BB">
        <w:rPr>
          <w:noProof/>
        </w:rPr>
        <w:t xml:space="preserve"> ci-d</w:t>
      </w:r>
      <w:r w:rsidR="00E3461E">
        <w:rPr>
          <w:noProof/>
        </w:rPr>
        <w:t>essus)</w:t>
      </w:r>
      <w:r w:rsidR="00EA5557">
        <w:rPr>
          <w:noProof/>
        </w:rPr>
        <w:t>.</w:t>
      </w:r>
      <w:r w:rsidR="00AD1B1F">
        <w:rPr>
          <w:noProof/>
        </w:rPr>
        <w:t xml:space="preserve"> Ainsi, le 26 janvier 2012, </w:t>
      </w:r>
      <w:r w:rsidR="005A4C34">
        <w:rPr>
          <w:noProof/>
        </w:rPr>
        <w:t xml:space="preserve">il </w:t>
      </w:r>
      <w:r w:rsidR="002A2101">
        <w:rPr>
          <w:noProof/>
        </w:rPr>
        <w:t>a été</w:t>
      </w:r>
      <w:r w:rsidR="005A4C34">
        <w:rPr>
          <w:noProof/>
        </w:rPr>
        <w:t xml:space="preserve"> décidé de prendre les mesures suivantes : a)</w:t>
      </w:r>
      <w:r w:rsidR="002A2101">
        <w:rPr>
          <w:noProof/>
        </w:rPr>
        <w:t>  </w:t>
      </w:r>
      <w:r w:rsidR="00EA74C4">
        <w:rPr>
          <w:noProof/>
        </w:rPr>
        <w:t>maintenir</w:t>
      </w:r>
      <w:r w:rsidR="002A2101">
        <w:rPr>
          <w:noProof/>
        </w:rPr>
        <w:t xml:space="preserve"> </w:t>
      </w:r>
      <w:r w:rsidR="005A4C34">
        <w:rPr>
          <w:noProof/>
        </w:rPr>
        <w:t>la 4</w:t>
      </w:r>
      <w:r w:rsidR="005A4C34" w:rsidRPr="009C6A5E">
        <w:rPr>
          <w:noProof/>
          <w:vertAlign w:val="superscript"/>
        </w:rPr>
        <w:t>e</w:t>
      </w:r>
      <w:r w:rsidR="005A4C34">
        <w:rPr>
          <w:noProof/>
        </w:rPr>
        <w:t xml:space="preserve"> école </w:t>
      </w:r>
      <w:r w:rsidR="00EA74C4">
        <w:rPr>
          <w:noProof/>
        </w:rPr>
        <w:t xml:space="preserve">en fonctionnement et la pourvoir </w:t>
      </w:r>
      <w:r w:rsidR="005A4C34">
        <w:rPr>
          <w:noProof/>
        </w:rPr>
        <w:t>de plus d</w:t>
      </w:r>
      <w:r w:rsidR="008615F7">
        <w:rPr>
          <w:noProof/>
        </w:rPr>
        <w:t>’</w:t>
      </w:r>
      <w:r w:rsidR="005A4C34">
        <w:rPr>
          <w:noProof/>
        </w:rPr>
        <w:t>éq</w:t>
      </w:r>
      <w:r w:rsidR="00305A0A">
        <w:rPr>
          <w:noProof/>
        </w:rPr>
        <w:t>uipements et d</w:t>
      </w:r>
      <w:r w:rsidR="008615F7">
        <w:rPr>
          <w:noProof/>
        </w:rPr>
        <w:t>’</w:t>
      </w:r>
      <w:r w:rsidR="00305A0A">
        <w:rPr>
          <w:noProof/>
        </w:rPr>
        <w:t>enseignants ; b) </w:t>
      </w:r>
      <w:r w:rsidR="002A2101">
        <w:rPr>
          <w:noProof/>
        </w:rPr>
        <w:t xml:space="preserve">construire </w:t>
      </w:r>
      <w:r w:rsidR="005A4C34">
        <w:rPr>
          <w:noProof/>
        </w:rPr>
        <w:t xml:space="preserve">une nouvelle école pour </w:t>
      </w:r>
      <w:r w:rsidR="00E34230">
        <w:rPr>
          <w:noProof/>
        </w:rPr>
        <w:t xml:space="preserve">les </w:t>
      </w:r>
      <w:r w:rsidR="005A4C34">
        <w:rPr>
          <w:noProof/>
        </w:rPr>
        <w:t xml:space="preserve">enfants roms ; c) </w:t>
      </w:r>
      <w:r w:rsidR="002A2101">
        <w:rPr>
          <w:noProof/>
        </w:rPr>
        <w:t xml:space="preserve">inscrire, si leurs parents le souhaitaient, </w:t>
      </w:r>
      <w:r w:rsidR="005A4C34">
        <w:rPr>
          <w:noProof/>
        </w:rPr>
        <w:t xml:space="preserve">neuf élèves en début de scolarisation </w:t>
      </w:r>
      <w:r w:rsidR="002A2101">
        <w:rPr>
          <w:noProof/>
        </w:rPr>
        <w:t>et</w:t>
      </w:r>
      <w:r w:rsidR="005A4C34">
        <w:rPr>
          <w:noProof/>
        </w:rPr>
        <w:t xml:space="preserve"> considérés comme aptes à suivre les cours aux 1</w:t>
      </w:r>
      <w:r w:rsidR="005A4C34" w:rsidRPr="009C6A5E">
        <w:rPr>
          <w:noProof/>
          <w:vertAlign w:val="superscript"/>
        </w:rPr>
        <w:t>re</w:t>
      </w:r>
      <w:r w:rsidR="005A4C34">
        <w:rPr>
          <w:noProof/>
        </w:rPr>
        <w:t xml:space="preserve"> et 2</w:t>
      </w:r>
      <w:r w:rsidR="005A4C34" w:rsidRPr="009C6A5E">
        <w:rPr>
          <w:noProof/>
          <w:vertAlign w:val="superscript"/>
        </w:rPr>
        <w:t>e</w:t>
      </w:r>
      <w:r w:rsidR="005A4C34">
        <w:rPr>
          <w:noProof/>
        </w:rPr>
        <w:t xml:space="preserve"> école</w:t>
      </w:r>
      <w:r w:rsidR="002A2101">
        <w:rPr>
          <w:noProof/>
        </w:rPr>
        <w:t>s</w:t>
      </w:r>
      <w:r w:rsidR="005A4C34">
        <w:rPr>
          <w:noProof/>
        </w:rPr>
        <w:t xml:space="preserve"> dans des classes préparatoires mais qui fonctionneraient dans les locaux de la 5</w:t>
      </w:r>
      <w:r w:rsidR="005A4C34" w:rsidRPr="009C6A5E">
        <w:rPr>
          <w:noProof/>
          <w:vertAlign w:val="superscript"/>
        </w:rPr>
        <w:t>e</w:t>
      </w:r>
      <w:r w:rsidR="005A4C34">
        <w:rPr>
          <w:noProof/>
        </w:rPr>
        <w:t xml:space="preserve"> école maternelle (située dans le nouveau lotissement des </w:t>
      </w:r>
      <w:r w:rsidR="002A2101">
        <w:rPr>
          <w:noProof/>
        </w:rPr>
        <w:t>R</w:t>
      </w:r>
      <w:r w:rsidR="005A4C34">
        <w:rPr>
          <w:noProof/>
        </w:rPr>
        <w:t>oms et fréquentée exclusivement par des enfants roms) ; d)</w:t>
      </w:r>
      <w:r w:rsidR="002A2101">
        <w:rPr>
          <w:noProof/>
        </w:rPr>
        <w:t>  </w:t>
      </w:r>
      <w:r w:rsidR="005A4C34">
        <w:rPr>
          <w:noProof/>
        </w:rPr>
        <w:t>à partir d</w:t>
      </w:r>
      <w:r w:rsidR="008F059F">
        <w:rPr>
          <w:noProof/>
        </w:rPr>
        <w:t>e la rentrée</w:t>
      </w:r>
      <w:r w:rsidR="005A4C34">
        <w:rPr>
          <w:noProof/>
        </w:rPr>
        <w:t xml:space="preserve"> scolaire 2012-2013, </w:t>
      </w:r>
      <w:r w:rsidR="002A2101">
        <w:rPr>
          <w:noProof/>
        </w:rPr>
        <w:t xml:space="preserve">inscrire </w:t>
      </w:r>
      <w:r w:rsidR="005A4C34">
        <w:rPr>
          <w:noProof/>
        </w:rPr>
        <w:t>les élèves de la 5</w:t>
      </w:r>
      <w:r w:rsidR="005A4C34" w:rsidRPr="00260D5D">
        <w:rPr>
          <w:noProof/>
          <w:vertAlign w:val="superscript"/>
        </w:rPr>
        <w:t>e</w:t>
      </w:r>
      <w:r w:rsidR="005A4C34">
        <w:rPr>
          <w:noProof/>
        </w:rPr>
        <w:t xml:space="preserve"> école maternelle </w:t>
      </w:r>
      <w:r w:rsidR="002A2101">
        <w:rPr>
          <w:noProof/>
        </w:rPr>
        <w:t>dans les</w:t>
      </w:r>
      <w:r w:rsidR="005A4C34">
        <w:rPr>
          <w:noProof/>
        </w:rPr>
        <w:t xml:space="preserve"> différentes écoles primaires de la ville de Sofades </w:t>
      </w:r>
      <w:r w:rsidR="002A2101">
        <w:rPr>
          <w:noProof/>
        </w:rPr>
        <w:t>en veillant à ce</w:t>
      </w:r>
      <w:r w:rsidR="005A4C34">
        <w:rPr>
          <w:noProof/>
        </w:rPr>
        <w:t xml:space="preserve"> que leur nombre ne dépass</w:t>
      </w:r>
      <w:r w:rsidR="002A2101">
        <w:rPr>
          <w:noProof/>
        </w:rPr>
        <w:t>ât</w:t>
      </w:r>
      <w:r w:rsidR="005A4C34">
        <w:rPr>
          <w:noProof/>
        </w:rPr>
        <w:t xml:space="preserve"> pas 20</w:t>
      </w:r>
      <w:r w:rsidR="002A2101">
        <w:rPr>
          <w:noProof/>
        </w:rPr>
        <w:t> </w:t>
      </w:r>
      <w:r w:rsidR="005A4C34">
        <w:rPr>
          <w:noProof/>
        </w:rPr>
        <w:t>% du total des élèves dans chaque école</w:t>
      </w:r>
      <w:r w:rsidR="00F10642">
        <w:rPr>
          <w:noProof/>
        </w:rPr>
        <w:t xml:space="preserve"> (paragraphe 23 ci-dessus)</w:t>
      </w:r>
      <w:r w:rsidR="005A4C34">
        <w:rPr>
          <w:noProof/>
        </w:rPr>
        <w:t>.</w:t>
      </w:r>
    </w:p>
    <w:p w:rsidR="00A12472" w:rsidRPr="00E34230" w:rsidRDefault="002304D5" w:rsidP="00297401">
      <w:pPr>
        <w:pStyle w:val="JuPara"/>
      </w:pPr>
      <w:r w:rsidRPr="001A2E41">
        <w:fldChar w:fldCharType="begin"/>
      </w:r>
      <w:r w:rsidRPr="001A2E41">
        <w:instrText xml:space="preserve"> SEQ level0 \*arabic </w:instrText>
      </w:r>
      <w:r w:rsidRPr="001A2E41">
        <w:fldChar w:fldCharType="separate"/>
      </w:r>
      <w:r w:rsidR="00554499">
        <w:rPr>
          <w:noProof/>
        </w:rPr>
        <w:t>71</w:t>
      </w:r>
      <w:r w:rsidRPr="001A2E41">
        <w:fldChar w:fldCharType="end"/>
      </w:r>
      <w:r w:rsidRPr="001A2E41">
        <w:t>.  </w:t>
      </w:r>
      <w:r w:rsidR="00E34230">
        <w:t>L</w:t>
      </w:r>
      <w:r w:rsidR="00F02C74" w:rsidRPr="001A2E41">
        <w:t>a Cour ne saurait souscrire à l</w:t>
      </w:r>
      <w:r w:rsidR="008615F7">
        <w:t>’</w:t>
      </w:r>
      <w:r w:rsidR="00F02C74" w:rsidRPr="001A2E41">
        <w:t>argument du Gouvernement</w:t>
      </w:r>
      <w:r w:rsidR="00F02C74">
        <w:t xml:space="preserve"> selon lequel </w:t>
      </w:r>
      <w:r w:rsidR="001A2E41">
        <w:t>il aurait suffi</w:t>
      </w:r>
      <w:r w:rsidR="00121887">
        <w:t>, pour l</w:t>
      </w:r>
      <w:r w:rsidR="008615F7">
        <w:t>’</w:t>
      </w:r>
      <w:r w:rsidR="00121887">
        <w:t>année 2009-2010,</w:t>
      </w:r>
      <w:r w:rsidR="001A2E41">
        <w:t xml:space="preserve"> aux</w:t>
      </w:r>
      <w:r w:rsidR="00F02C74">
        <w:t xml:space="preserve"> </w:t>
      </w:r>
      <w:r w:rsidR="00E34230">
        <w:t xml:space="preserve">parents </w:t>
      </w:r>
      <w:r w:rsidR="00F02C74">
        <w:t xml:space="preserve">requérants </w:t>
      </w:r>
      <w:r w:rsidR="001A2E41">
        <w:t>de</w:t>
      </w:r>
      <w:r w:rsidR="00F02C74">
        <w:t xml:space="preserve"> demander le transfert </w:t>
      </w:r>
      <w:r w:rsidR="00E34230">
        <w:t xml:space="preserve">de leurs enfants </w:t>
      </w:r>
      <w:r w:rsidR="00F02C74">
        <w:t xml:space="preserve">dans une autre école ordinaire de Sofades pour </w:t>
      </w:r>
      <w:r w:rsidR="001A2E41">
        <w:t>ne</w:t>
      </w:r>
      <w:r w:rsidR="00F02C74">
        <w:t xml:space="preserve"> plus </w:t>
      </w:r>
      <w:r w:rsidR="001A2E41">
        <w:t xml:space="preserve">se sentir </w:t>
      </w:r>
      <w:r w:rsidR="00F02C74">
        <w:t xml:space="preserve">discriminés. A cet égard, </w:t>
      </w:r>
      <w:r w:rsidR="001A2E41">
        <w:t>elle</w:t>
      </w:r>
      <w:r w:rsidR="00F02C74">
        <w:t xml:space="preserve"> se réfère, d</w:t>
      </w:r>
      <w:r w:rsidR="008615F7">
        <w:t>’</w:t>
      </w:r>
      <w:r w:rsidR="00F02C74">
        <w:t>une part</w:t>
      </w:r>
      <w:r w:rsidR="001A2E41">
        <w:t>,</w:t>
      </w:r>
      <w:r w:rsidR="00F02C74">
        <w:t xml:space="preserve"> aux capacités d</w:t>
      </w:r>
      <w:r w:rsidR="008615F7">
        <w:t>’</w:t>
      </w:r>
      <w:r w:rsidR="00F02C74">
        <w:t>accueil réduite</w:t>
      </w:r>
      <w:r w:rsidR="002A4FF5">
        <w:t>s</w:t>
      </w:r>
      <w:r w:rsidR="00094644">
        <w:t xml:space="preserve"> des autres écoles (paragraphe 9</w:t>
      </w:r>
      <w:r w:rsidR="00F02C74">
        <w:t xml:space="preserve"> ci-dessus) et, d</w:t>
      </w:r>
      <w:r w:rsidR="008615F7">
        <w:t>’</w:t>
      </w:r>
      <w:r w:rsidR="00F02C74">
        <w:t xml:space="preserve">autre part, aux constats </w:t>
      </w:r>
      <w:r w:rsidR="001A2E41">
        <w:t xml:space="preserve">effectués </w:t>
      </w:r>
      <w:r w:rsidR="00F02C74">
        <w:t xml:space="preserve">par </w:t>
      </w:r>
      <w:r w:rsidR="002A4FF5">
        <w:t xml:space="preserve">la </w:t>
      </w:r>
      <w:r w:rsidR="00E34230">
        <w:t>d</w:t>
      </w:r>
      <w:r w:rsidR="002A4FF5">
        <w:t>irection régionale de l</w:t>
      </w:r>
      <w:r w:rsidR="008615F7">
        <w:t>’</w:t>
      </w:r>
      <w:r w:rsidR="00DD10B3">
        <w:t>é</w:t>
      </w:r>
      <w:r w:rsidR="002A4FF5">
        <w:t>ducation de Th</w:t>
      </w:r>
      <w:r w:rsidR="00F37825">
        <w:t>e</w:t>
      </w:r>
      <w:r w:rsidR="002A4FF5">
        <w:t xml:space="preserve">ssalie </w:t>
      </w:r>
      <w:r w:rsidR="00406B55" w:rsidRPr="00E34230">
        <w:t>quant à la réaction des parents d</w:t>
      </w:r>
      <w:r w:rsidR="008615F7">
        <w:t>’</w:t>
      </w:r>
      <w:r w:rsidR="00406B55" w:rsidRPr="00E34230">
        <w:t>élèves non roms lorsque trois enfants roms ont été inscrits dans d</w:t>
      </w:r>
      <w:r w:rsidR="008615F7">
        <w:t>’</w:t>
      </w:r>
      <w:r w:rsidR="00406B55" w:rsidRPr="00E34230">
        <w:t xml:space="preserve">autres écoles du secteur de Sofades </w:t>
      </w:r>
      <w:r w:rsidR="00121887">
        <w:t xml:space="preserve">en 2009 </w:t>
      </w:r>
      <w:r w:rsidR="00406B55" w:rsidRPr="00E34230">
        <w:t>(paragraphe 1</w:t>
      </w:r>
      <w:r w:rsidR="00094644" w:rsidRPr="00E34230">
        <w:t xml:space="preserve">7 </w:t>
      </w:r>
      <w:r w:rsidR="00406B55" w:rsidRPr="00E34230">
        <w:t>ci-dessus).</w:t>
      </w:r>
    </w:p>
    <w:p w:rsidR="00FF0ECA" w:rsidRPr="00206AB7" w:rsidRDefault="006A35A8" w:rsidP="00FF0ECA">
      <w:pPr>
        <w:pStyle w:val="JuPara"/>
      </w:pPr>
      <w:r w:rsidRPr="00E34230">
        <w:fldChar w:fldCharType="begin"/>
      </w:r>
      <w:r w:rsidRPr="00E34230">
        <w:instrText xml:space="preserve"> SEQ level0 \*arabic </w:instrText>
      </w:r>
      <w:r w:rsidRPr="00E34230">
        <w:fldChar w:fldCharType="separate"/>
      </w:r>
      <w:r w:rsidR="00554499">
        <w:rPr>
          <w:noProof/>
        </w:rPr>
        <w:t>72</w:t>
      </w:r>
      <w:r w:rsidRPr="00E34230">
        <w:fldChar w:fldCharType="end"/>
      </w:r>
      <w:r w:rsidRPr="00E34230">
        <w:t>.  La Cour estime utile de rappeler que le principe de</w:t>
      </w:r>
      <w:r w:rsidR="009E6003" w:rsidRPr="00E34230">
        <w:t xml:space="preserve"> </w:t>
      </w:r>
      <w:r w:rsidRPr="00E34230">
        <w:t>non</w:t>
      </w:r>
      <w:r w:rsidR="001A2E41" w:rsidRPr="00E34230">
        <w:t>-</w:t>
      </w:r>
      <w:r>
        <w:t xml:space="preserve">discrimination des </w:t>
      </w:r>
      <w:r w:rsidR="001A2E41">
        <w:t>R</w:t>
      </w:r>
      <w:r>
        <w:t>oms dans le domaine scolaire est inclus dans plusieurs instruments internationaux. La Recommandation CM/Rec(2009)4 du Comité des Ministres du Conseil de l</w:t>
      </w:r>
      <w:r w:rsidR="008615F7">
        <w:t>’</w:t>
      </w:r>
      <w:r>
        <w:t xml:space="preserve">Europe </w:t>
      </w:r>
      <w:r w:rsidR="00C100F9">
        <w:t xml:space="preserve">préconise que des </w:t>
      </w:r>
      <w:r w:rsidR="00C100F9" w:rsidRPr="00CC5BBA">
        <w:t>politiques éducatives visant à assurer un accès non discriminatoire à un enseigneme</w:t>
      </w:r>
      <w:r w:rsidR="00C100F9">
        <w:t>nt de qualité pour les enfants r</w:t>
      </w:r>
      <w:r w:rsidR="00C100F9" w:rsidRPr="00CC5BBA">
        <w:t xml:space="preserve">oms </w:t>
      </w:r>
      <w:r w:rsidR="001A2E41">
        <w:t>soient</w:t>
      </w:r>
      <w:r w:rsidR="00C100F9" w:rsidRPr="00CC5BBA">
        <w:t xml:space="preserve"> élaborées au niveau national</w:t>
      </w:r>
      <w:r w:rsidR="00C100F9">
        <w:t xml:space="preserve"> et que l</w:t>
      </w:r>
      <w:r w:rsidR="00C100F9" w:rsidRPr="00CC5BBA">
        <w:t>es Etats membres veille</w:t>
      </w:r>
      <w:r w:rsidR="001A2E41">
        <w:t>nt</w:t>
      </w:r>
      <w:r w:rsidR="00C100F9" w:rsidRPr="00CC5BBA">
        <w:t xml:space="preserve"> à ce que </w:t>
      </w:r>
      <w:r w:rsidR="00085F92">
        <w:t>d</w:t>
      </w:r>
      <w:r w:rsidR="00C100F9" w:rsidRPr="00CC5BBA">
        <w:t>es mesures juridiques interdisant la ségrégation sur une base ethnique ou raciale dans le domaine de l</w:t>
      </w:r>
      <w:r w:rsidR="008615F7">
        <w:t>’</w:t>
      </w:r>
      <w:r w:rsidR="00C100F9" w:rsidRPr="00CC5BBA">
        <w:t>éducation soient mises en place</w:t>
      </w:r>
      <w:r w:rsidR="00094644">
        <w:t xml:space="preserve"> (paragraphe 29</w:t>
      </w:r>
      <w:r w:rsidR="00CB241F">
        <w:t xml:space="preserve"> ci-dessus)</w:t>
      </w:r>
      <w:r w:rsidR="00C92314">
        <w:t>.</w:t>
      </w:r>
      <w:r w:rsidR="00985135">
        <w:t xml:space="preserve"> </w:t>
      </w:r>
      <w:r w:rsidR="00985135" w:rsidRPr="001C78F1">
        <w:t>D</w:t>
      </w:r>
      <w:r w:rsidR="00985135">
        <w:t xml:space="preserve">ans sa recommandation générale </w:t>
      </w:r>
      <w:r w:rsidR="001A2E41">
        <w:t>n</w:t>
      </w:r>
      <w:r w:rsidR="001A2E41" w:rsidRPr="001A2E41">
        <w:rPr>
          <w:vertAlign w:val="superscript"/>
        </w:rPr>
        <w:t>o</w:t>
      </w:r>
      <w:r w:rsidR="001A2E41">
        <w:t xml:space="preserve"> </w:t>
      </w:r>
      <w:r w:rsidR="00985135" w:rsidRPr="001C78F1">
        <w:t>27 du 16 août 2000 concernant la discrimination à l</w:t>
      </w:r>
      <w:r w:rsidR="008615F7">
        <w:t>’</w:t>
      </w:r>
      <w:r w:rsidR="00985135" w:rsidRPr="001C78F1">
        <w:t xml:space="preserve">égard des Roms, le Comité </w:t>
      </w:r>
      <w:r w:rsidR="00DD10B3">
        <w:t xml:space="preserve">des Nations Unies </w:t>
      </w:r>
      <w:r w:rsidR="00985135">
        <w:t>pour l</w:t>
      </w:r>
      <w:r w:rsidR="008615F7">
        <w:t>’</w:t>
      </w:r>
      <w:r w:rsidR="00985135">
        <w:t>élimination de la discrimination raciale</w:t>
      </w:r>
      <w:r w:rsidR="00985135" w:rsidRPr="001C78F1">
        <w:t xml:space="preserve"> </w:t>
      </w:r>
      <w:r w:rsidR="00985135">
        <w:t>recommandait aux Etats de p</w:t>
      </w:r>
      <w:r w:rsidR="00985135" w:rsidRPr="001C78F1">
        <w:t xml:space="preserve">révenir et </w:t>
      </w:r>
      <w:r w:rsidR="001A2E41">
        <w:t>d</w:t>
      </w:r>
      <w:r w:rsidR="008615F7">
        <w:t>’</w:t>
      </w:r>
      <w:r w:rsidR="00985135" w:rsidRPr="001C78F1">
        <w:t>éviter autant que possible la ségrégation des élèves roms</w:t>
      </w:r>
      <w:r w:rsidR="00094644">
        <w:t xml:space="preserve"> (paragraphe 32</w:t>
      </w:r>
      <w:r w:rsidR="00CB241F">
        <w:t xml:space="preserve"> ci-dessus)</w:t>
      </w:r>
      <w:r w:rsidR="00985135">
        <w:t>.</w:t>
      </w:r>
      <w:r w:rsidR="009E6003">
        <w:t xml:space="preserve"> L</w:t>
      </w:r>
      <w:r w:rsidR="009E6003" w:rsidRPr="001C78F1">
        <w:t xml:space="preserve">a Convention </w:t>
      </w:r>
      <w:r w:rsidR="00CA2698">
        <w:t>de l</w:t>
      </w:r>
      <w:r w:rsidR="008615F7">
        <w:t>’</w:t>
      </w:r>
      <w:r w:rsidR="00CA2698">
        <w:t xml:space="preserve">Unesco </w:t>
      </w:r>
      <w:r w:rsidR="009E6003" w:rsidRPr="001C78F1">
        <w:t>concernant la lutte contre la discrimination dans le domaine de l</w:t>
      </w:r>
      <w:r w:rsidR="008615F7">
        <w:t>’</w:t>
      </w:r>
      <w:r w:rsidR="009E6003" w:rsidRPr="001C78F1">
        <w:t>enseignement</w:t>
      </w:r>
      <w:r w:rsidR="009E6003">
        <w:t xml:space="preserve"> </w:t>
      </w:r>
      <w:r w:rsidR="009C634E">
        <w:t xml:space="preserve">qualifie de discriminatoires </w:t>
      </w:r>
      <w:r w:rsidR="00FF0ECA">
        <w:t xml:space="preserve">les mesures ayant pour objet </w:t>
      </w:r>
      <w:r w:rsidR="00FF0ECA" w:rsidRPr="001C78F1">
        <w:t>d</w:t>
      </w:r>
      <w:r w:rsidR="008615F7">
        <w:t>’</w:t>
      </w:r>
      <w:r w:rsidR="00FF0ECA" w:rsidRPr="001C78F1">
        <w:t>instituer ou de maintenir des systèmes ou des établissements d</w:t>
      </w:r>
      <w:r w:rsidR="008615F7">
        <w:t>’</w:t>
      </w:r>
      <w:r w:rsidR="00FF0ECA" w:rsidRPr="001C78F1">
        <w:t>enseignement séparés po</w:t>
      </w:r>
      <w:r w:rsidR="00FF0ECA">
        <w:t>ur des personnes ou des groupes</w:t>
      </w:r>
      <w:r w:rsidR="000E2EE6">
        <w:t xml:space="preserve"> (paragraphe 34</w:t>
      </w:r>
      <w:r w:rsidR="00CB241F">
        <w:t xml:space="preserve"> ci-dessus)</w:t>
      </w:r>
      <w:r w:rsidR="00FF0ECA">
        <w:t>.</w:t>
      </w:r>
      <w:r w:rsidR="00346050">
        <w:t xml:space="preserve"> </w:t>
      </w:r>
      <w:r w:rsidR="001A2E41">
        <w:t>La Cour souligne que l</w:t>
      </w:r>
      <w:r w:rsidR="008615F7">
        <w:t>’</w:t>
      </w:r>
      <w:r w:rsidR="00346050">
        <w:t>essen</w:t>
      </w:r>
      <w:r w:rsidR="001A2E41">
        <w:t>tiel</w:t>
      </w:r>
      <w:r w:rsidR="00346050">
        <w:t xml:space="preserve"> du contenu de ces</w:t>
      </w:r>
      <w:r w:rsidR="001A2E41">
        <w:t xml:space="preserve"> différents</w:t>
      </w:r>
      <w:r w:rsidR="00346050">
        <w:t xml:space="preserve"> instruments internationaux est reflété aussi dans l</w:t>
      </w:r>
      <w:r w:rsidR="000D263B">
        <w:t>es</w:t>
      </w:r>
      <w:r w:rsidR="00346050">
        <w:t xml:space="preserve"> </w:t>
      </w:r>
      <w:r w:rsidR="000D263B">
        <w:t xml:space="preserve">circulaires </w:t>
      </w:r>
      <w:r w:rsidR="000D263B" w:rsidRPr="00206AB7">
        <w:t xml:space="preserve">11684//Γ1/10.09.2008 et </w:t>
      </w:r>
      <w:r w:rsidR="00346050" w:rsidRPr="00206AB7">
        <w:t>Φ.3/960/102679/Γ1/20.</w:t>
      </w:r>
      <w:r w:rsidR="000D263B" w:rsidRPr="00206AB7">
        <w:t>0</w:t>
      </w:r>
      <w:r w:rsidR="00346050" w:rsidRPr="00206AB7">
        <w:t>8.2010 du ministère de l</w:t>
      </w:r>
      <w:r w:rsidR="008615F7">
        <w:t>’</w:t>
      </w:r>
      <w:r w:rsidR="00346050" w:rsidRPr="00206AB7">
        <w:t>Education (paragraphe</w:t>
      </w:r>
      <w:r w:rsidR="000D263B" w:rsidRPr="00206AB7">
        <w:t>s</w:t>
      </w:r>
      <w:r w:rsidR="00346050" w:rsidRPr="00206AB7">
        <w:t xml:space="preserve"> </w:t>
      </w:r>
      <w:r w:rsidR="00094644" w:rsidRPr="00206AB7">
        <w:t>26</w:t>
      </w:r>
      <w:r w:rsidR="000D263B" w:rsidRPr="00206AB7">
        <w:t>-</w:t>
      </w:r>
      <w:r w:rsidR="00094644" w:rsidRPr="00206AB7">
        <w:t>27</w:t>
      </w:r>
      <w:r w:rsidR="00346050" w:rsidRPr="00206AB7">
        <w:t xml:space="preserve"> ci-dessus).</w:t>
      </w:r>
    </w:p>
    <w:p w:rsidR="00230282" w:rsidRPr="004542B7" w:rsidRDefault="00681AD6" w:rsidP="00297401">
      <w:pPr>
        <w:pStyle w:val="JuPara"/>
        <w:rPr>
          <w:i/>
          <w:lang w:eastAsia="en-US"/>
        </w:rPr>
      </w:pPr>
      <w:r w:rsidRPr="00206AB7">
        <w:fldChar w:fldCharType="begin"/>
      </w:r>
      <w:r w:rsidRPr="00206AB7">
        <w:instrText xml:space="preserve"> SEQ level0 \*arabic </w:instrText>
      </w:r>
      <w:r w:rsidRPr="00206AB7">
        <w:fldChar w:fldCharType="separate"/>
      </w:r>
      <w:r w:rsidR="00554499">
        <w:rPr>
          <w:noProof/>
        </w:rPr>
        <w:t>73</w:t>
      </w:r>
      <w:r w:rsidRPr="00206AB7">
        <w:fldChar w:fldCharType="end"/>
      </w:r>
      <w:r w:rsidRPr="00206AB7">
        <w:t>.  </w:t>
      </w:r>
      <w:r w:rsidR="00230282" w:rsidRPr="00206AB7">
        <w:t>Eu égard</w:t>
      </w:r>
      <w:r w:rsidR="00B7677C" w:rsidRPr="00206AB7">
        <w:t xml:space="preserve"> à ce qui précède</w:t>
      </w:r>
      <w:r w:rsidR="00230282" w:rsidRPr="00206AB7">
        <w:t>, et même en l</w:t>
      </w:r>
      <w:r w:rsidR="008615F7">
        <w:t>’</w:t>
      </w:r>
      <w:r w:rsidR="00BA792F">
        <w:t>absence de toute intention</w:t>
      </w:r>
      <w:r w:rsidR="00787155">
        <w:t xml:space="preserve"> </w:t>
      </w:r>
      <w:r w:rsidR="00230282" w:rsidRPr="00206AB7">
        <w:t>discriminatoire de la part de l</w:t>
      </w:r>
      <w:r w:rsidR="008615F7">
        <w:t>’</w:t>
      </w:r>
      <w:r w:rsidR="00230282" w:rsidRPr="00206AB7">
        <w:t xml:space="preserve">Etat, la Cour </w:t>
      </w:r>
      <w:r w:rsidRPr="00206AB7">
        <w:t xml:space="preserve">estime que la </w:t>
      </w:r>
      <w:r w:rsidR="00CE025A" w:rsidRPr="00206AB7">
        <w:t>position</w:t>
      </w:r>
      <w:r w:rsidRPr="00206AB7">
        <w:t xml:space="preserve"> qui consiste à pérenniser </w:t>
      </w:r>
      <w:r w:rsidR="00230282" w:rsidRPr="00206AB7">
        <w:t>la scolarisation des enfants roms dans une école</w:t>
      </w:r>
      <w:r w:rsidR="00B7677C" w:rsidRPr="00206AB7">
        <w:t xml:space="preserve"> </w:t>
      </w:r>
      <w:r w:rsidR="00BA792F">
        <w:t xml:space="preserve">publique </w:t>
      </w:r>
      <w:r w:rsidR="00CE025A" w:rsidRPr="00206AB7">
        <w:t>fréquentée</w:t>
      </w:r>
      <w:r w:rsidR="00B7677C" w:rsidRPr="00206AB7">
        <w:t xml:space="preserve"> </w:t>
      </w:r>
      <w:r w:rsidR="001A2E41" w:rsidRPr="00206AB7">
        <w:t xml:space="preserve">exclusivement </w:t>
      </w:r>
      <w:r w:rsidR="00CE025A" w:rsidRPr="00206AB7">
        <w:t>par des R</w:t>
      </w:r>
      <w:r w:rsidR="001A2E41" w:rsidRPr="00206AB7">
        <w:t>om</w:t>
      </w:r>
      <w:r w:rsidR="00CE025A" w:rsidRPr="00206AB7">
        <w:t>s</w:t>
      </w:r>
      <w:r w:rsidR="00B7677C" w:rsidRPr="00206AB7">
        <w:t xml:space="preserve"> et</w:t>
      </w:r>
      <w:r w:rsidR="00230282" w:rsidRPr="00206AB7">
        <w:t xml:space="preserve"> </w:t>
      </w:r>
      <w:r w:rsidRPr="00206AB7">
        <w:t>à</w:t>
      </w:r>
      <w:r w:rsidR="001A15D4" w:rsidRPr="00206AB7">
        <w:t xml:space="preserve"> </w:t>
      </w:r>
      <w:r w:rsidR="00CA2698" w:rsidRPr="00206AB7">
        <w:t>renoncer à</w:t>
      </w:r>
      <w:r w:rsidR="001A15D4" w:rsidRPr="00206AB7">
        <w:t xml:space="preserve"> des mesures antiségrégationnistes effectives –</w:t>
      </w:r>
      <w:r w:rsidRPr="00206AB7">
        <w:t xml:space="preserve"> </w:t>
      </w:r>
      <w:r w:rsidR="00CE025A" w:rsidRPr="00206AB7">
        <w:t xml:space="preserve">par exemple, </w:t>
      </w:r>
      <w:r w:rsidR="00CA2698" w:rsidRPr="00206AB7">
        <w:t>répartir les élèves roms</w:t>
      </w:r>
      <w:r w:rsidR="00230282" w:rsidRPr="00206AB7">
        <w:t xml:space="preserve"> </w:t>
      </w:r>
      <w:r w:rsidRPr="00206AB7">
        <w:t>dans de</w:t>
      </w:r>
      <w:r w:rsidR="001A2E41" w:rsidRPr="00206AB7">
        <w:t>s</w:t>
      </w:r>
      <w:r w:rsidRPr="00206AB7">
        <w:t xml:space="preserve"> classes mixtes </w:t>
      </w:r>
      <w:r w:rsidR="00230282" w:rsidRPr="00206AB7">
        <w:t>dans d</w:t>
      </w:r>
      <w:r w:rsidR="008615F7">
        <w:t>’</w:t>
      </w:r>
      <w:r w:rsidR="00230282" w:rsidRPr="00206AB7">
        <w:t>autres écoles</w:t>
      </w:r>
      <w:r w:rsidRPr="00206AB7">
        <w:t xml:space="preserve"> de Sofades </w:t>
      </w:r>
      <w:r w:rsidR="00CA2698" w:rsidRPr="00206AB7">
        <w:t>ou</w:t>
      </w:r>
      <w:r w:rsidR="00B7677C" w:rsidRPr="00206AB7">
        <w:t xml:space="preserve"> procéder à </w:t>
      </w:r>
      <w:r w:rsidR="00EA4EAF">
        <w:t>un redécoupage de la carte scolaire</w:t>
      </w:r>
      <w:r w:rsidR="001A15D4" w:rsidRPr="00206AB7">
        <w:t xml:space="preserve"> –</w:t>
      </w:r>
      <w:r w:rsidR="001A2E41" w:rsidRPr="00206AB7">
        <w:t>, et ce</w:t>
      </w:r>
      <w:r w:rsidR="00B7677C" w:rsidRPr="00206AB7">
        <w:t xml:space="preserve"> </w:t>
      </w:r>
      <w:r w:rsidR="00230282" w:rsidRPr="00206AB7">
        <w:t>en raison</w:t>
      </w:r>
      <w:r w:rsidR="00CE025A" w:rsidRPr="00206AB7">
        <w:t>,</w:t>
      </w:r>
      <w:r w:rsidR="00B7677C" w:rsidRPr="00206AB7">
        <w:t xml:space="preserve"> notamment</w:t>
      </w:r>
      <w:r w:rsidR="00CE025A" w:rsidRPr="00206AB7">
        <w:t>,</w:t>
      </w:r>
      <w:r w:rsidR="00230282" w:rsidRPr="00206AB7">
        <w:t xml:space="preserve"> de l</w:t>
      </w:r>
      <w:r w:rsidR="008615F7">
        <w:t>’</w:t>
      </w:r>
      <w:r w:rsidR="00230282" w:rsidRPr="00206AB7">
        <w:t xml:space="preserve">opposition </w:t>
      </w:r>
      <w:r w:rsidR="00CE025A" w:rsidRPr="00206AB7">
        <w:t xml:space="preserve">manifestée par </w:t>
      </w:r>
      <w:r w:rsidR="00230282" w:rsidRPr="00206AB7">
        <w:t>des parents d</w:t>
      </w:r>
      <w:r w:rsidR="008615F7">
        <w:t>’</w:t>
      </w:r>
      <w:r w:rsidR="00230282" w:rsidRPr="00206AB7">
        <w:t>élèves non roms</w:t>
      </w:r>
      <w:r w:rsidRPr="00206AB7">
        <w:t xml:space="preserve">, ne </w:t>
      </w:r>
      <w:r w:rsidR="00CA2698" w:rsidRPr="00206AB7">
        <w:t>peut</w:t>
      </w:r>
      <w:r w:rsidRPr="00206AB7">
        <w:t xml:space="preserve"> être considérée comme objectivement justifiée par un but légitime.</w:t>
      </w:r>
      <w:r w:rsidR="0041501C">
        <w:t xml:space="preserve"> La situation dénoncée par les requérants pour l</w:t>
      </w:r>
      <w:r w:rsidR="008615F7">
        <w:t>’</w:t>
      </w:r>
      <w:r w:rsidR="0041501C">
        <w:t>année 2009-2010 a perduré jusqu</w:t>
      </w:r>
      <w:r w:rsidR="008615F7">
        <w:t>’</w:t>
      </w:r>
      <w:r w:rsidR="0041501C">
        <w:t>à la rentrée scolaire 2012-2013</w:t>
      </w:r>
      <w:r w:rsidR="004542B7">
        <w:t xml:space="preserve"> (voir, </w:t>
      </w:r>
      <w:r w:rsidR="004542B7" w:rsidRPr="004542B7">
        <w:rPr>
          <w:i/>
        </w:rPr>
        <w:t>mutatis mutandis</w:t>
      </w:r>
      <w:r w:rsidR="004542B7">
        <w:t xml:space="preserve">, </w:t>
      </w:r>
      <w:r w:rsidR="004542B7" w:rsidRPr="004542B7">
        <w:rPr>
          <w:i/>
          <w:lang w:eastAsia="en-US"/>
        </w:rPr>
        <w:t xml:space="preserve">Sampani </w:t>
      </w:r>
      <w:r w:rsidR="004542B7" w:rsidRPr="004542B7">
        <w:rPr>
          <w:i/>
          <w:szCs w:val="22"/>
          <w:lang w:eastAsia="en-US"/>
        </w:rPr>
        <w:t xml:space="preserve">et </w:t>
      </w:r>
      <w:r w:rsidR="004542B7">
        <w:rPr>
          <w:i/>
          <w:szCs w:val="22"/>
          <w:lang w:eastAsia="en-US"/>
        </w:rPr>
        <w:t>autre</w:t>
      </w:r>
      <w:r w:rsidR="004542B7" w:rsidRPr="004542B7">
        <w:rPr>
          <w:i/>
          <w:szCs w:val="22"/>
          <w:lang w:eastAsia="en-US"/>
        </w:rPr>
        <w:t>s c.</w:t>
      </w:r>
      <w:r w:rsidR="000F6FD5">
        <w:rPr>
          <w:i/>
          <w:szCs w:val="22"/>
          <w:lang w:eastAsia="en-US"/>
        </w:rPr>
        <w:t> </w:t>
      </w:r>
      <w:r w:rsidR="004542B7" w:rsidRPr="004542B7">
        <w:rPr>
          <w:i/>
          <w:szCs w:val="22"/>
          <w:lang w:eastAsia="en-US"/>
        </w:rPr>
        <w:t>Grèce</w:t>
      </w:r>
      <w:r w:rsidR="004542B7" w:rsidRPr="004542B7">
        <w:rPr>
          <w:szCs w:val="22"/>
          <w:lang w:eastAsia="en-US"/>
        </w:rPr>
        <w:t>, n</w:t>
      </w:r>
      <w:r w:rsidR="004542B7" w:rsidRPr="004542B7">
        <w:rPr>
          <w:szCs w:val="22"/>
          <w:vertAlign w:val="superscript"/>
          <w:lang w:eastAsia="en-US"/>
        </w:rPr>
        <w:t>o</w:t>
      </w:r>
      <w:r w:rsidR="004542B7" w:rsidRPr="004542B7">
        <w:rPr>
          <w:szCs w:val="22"/>
          <w:lang w:eastAsia="en-US"/>
        </w:rPr>
        <w:t xml:space="preserve"> 59608/09</w:t>
      </w:r>
      <w:r w:rsidR="004542B7" w:rsidRPr="004542B7">
        <w:rPr>
          <w:snapToGrid w:val="0"/>
          <w:lang w:eastAsia="en-US"/>
        </w:rPr>
        <w:t xml:space="preserve">, 11 </w:t>
      </w:r>
      <w:r w:rsidR="004542B7" w:rsidRPr="004542B7">
        <w:rPr>
          <w:lang w:eastAsia="en-US"/>
        </w:rPr>
        <w:t>décembre</w:t>
      </w:r>
      <w:r w:rsidR="004542B7" w:rsidRPr="004542B7">
        <w:rPr>
          <w:snapToGrid w:val="0"/>
          <w:lang w:eastAsia="en-US"/>
        </w:rPr>
        <w:t xml:space="preserve"> 2012</w:t>
      </w:r>
      <w:r w:rsidR="004542B7">
        <w:rPr>
          <w:snapToGrid w:val="0"/>
          <w:lang w:eastAsia="en-US"/>
        </w:rPr>
        <w:t>)</w:t>
      </w:r>
      <w:r w:rsidR="0041501C">
        <w:t>.</w:t>
      </w:r>
    </w:p>
    <w:p w:rsidR="00F439E0" w:rsidRPr="00206AB7" w:rsidRDefault="002304D5" w:rsidP="00297401">
      <w:pPr>
        <w:pStyle w:val="JuPara"/>
      </w:pPr>
      <w:r w:rsidRPr="00206AB7">
        <w:fldChar w:fldCharType="begin"/>
      </w:r>
      <w:r w:rsidRPr="00206AB7">
        <w:instrText xml:space="preserve"> SEQ level0 \*arabic </w:instrText>
      </w:r>
      <w:r w:rsidRPr="00206AB7">
        <w:fldChar w:fldCharType="separate"/>
      </w:r>
      <w:r w:rsidR="00554499">
        <w:rPr>
          <w:noProof/>
        </w:rPr>
        <w:t>74</w:t>
      </w:r>
      <w:r w:rsidRPr="00206AB7">
        <w:fldChar w:fldCharType="end"/>
      </w:r>
      <w:r w:rsidRPr="00206AB7">
        <w:t>.  Partant, il y a eu</w:t>
      </w:r>
      <w:r w:rsidR="005E62D3" w:rsidRPr="00206AB7">
        <w:t xml:space="preserve"> </w:t>
      </w:r>
      <w:r w:rsidRPr="00206AB7">
        <w:t>violation de l</w:t>
      </w:r>
      <w:r w:rsidR="008615F7">
        <w:t>’</w:t>
      </w:r>
      <w:r w:rsidRPr="00206AB7">
        <w:t>article 14 de la Convention combiné avec l</w:t>
      </w:r>
      <w:r w:rsidR="008615F7">
        <w:t>’</w:t>
      </w:r>
      <w:r w:rsidRPr="00206AB7">
        <w:t>article 2 du Protocole n</w:t>
      </w:r>
      <w:r w:rsidR="003759D8" w:rsidRPr="003759D8">
        <w:rPr>
          <w:vertAlign w:val="superscript"/>
        </w:rPr>
        <w:t>o</w:t>
      </w:r>
      <w:r w:rsidRPr="00206AB7">
        <w:t xml:space="preserve"> 1 </w:t>
      </w:r>
      <w:r w:rsidR="001A2E41" w:rsidRPr="00206AB7">
        <w:t xml:space="preserve">à la Convention </w:t>
      </w:r>
      <w:r w:rsidRPr="00206AB7">
        <w:t>dans le chef des requérants.</w:t>
      </w:r>
    </w:p>
    <w:p w:rsidR="00EC6427" w:rsidRPr="00520ECC" w:rsidRDefault="004F1323">
      <w:pPr>
        <w:pStyle w:val="JuHIRoman"/>
      </w:pPr>
      <w:r w:rsidRPr="00206AB7">
        <w:t>IV</w:t>
      </w:r>
      <w:r w:rsidR="00EC6427" w:rsidRPr="00206AB7">
        <w:t>.  SUR LES AUTRES VIOLATIONS ALLÉGUÉES</w:t>
      </w:r>
    </w:p>
    <w:p w:rsidR="004F1323" w:rsidRDefault="004F1323" w:rsidP="004F1323">
      <w:pPr>
        <w:pStyle w:val="JuPara"/>
      </w:pPr>
      <w:r>
        <w:fldChar w:fldCharType="begin"/>
      </w:r>
      <w:r>
        <w:instrText xml:space="preserve"> SEQ level0 \*arabic </w:instrText>
      </w:r>
      <w:r>
        <w:fldChar w:fldCharType="separate"/>
      </w:r>
      <w:r w:rsidR="00554499">
        <w:rPr>
          <w:noProof/>
        </w:rPr>
        <w:t>75</w:t>
      </w:r>
      <w:r>
        <w:fldChar w:fldCharType="end"/>
      </w:r>
      <w:r>
        <w:t>.  </w:t>
      </w:r>
      <w:r w:rsidRPr="000E496D">
        <w:t xml:space="preserve">Les requérants </w:t>
      </w:r>
      <w:r>
        <w:t xml:space="preserve">se plaignent </w:t>
      </w:r>
      <w:r w:rsidR="00CE025A">
        <w:t xml:space="preserve">par ailleurs </w:t>
      </w:r>
      <w:r>
        <w:t>de l</w:t>
      </w:r>
      <w:r w:rsidR="008615F7">
        <w:t>’</w:t>
      </w:r>
      <w:r>
        <w:t>absence d</w:t>
      </w:r>
      <w:r w:rsidR="008615F7">
        <w:t>’</w:t>
      </w:r>
      <w:r>
        <w:t xml:space="preserve">un recours effectif </w:t>
      </w:r>
      <w:r w:rsidR="001A2E41">
        <w:t>par le biais</w:t>
      </w:r>
      <w:r>
        <w:t xml:space="preserve"> duquel ils auraient pu formuler leurs griefs sur le terrain de l</w:t>
      </w:r>
      <w:r w:rsidR="008615F7">
        <w:t>’</w:t>
      </w:r>
      <w:r>
        <w:t xml:space="preserve">article 14 </w:t>
      </w:r>
      <w:r w:rsidRPr="00704CB3">
        <w:t>de la Convention</w:t>
      </w:r>
      <w:r>
        <w:t xml:space="preserve"> combiné avec l</w:t>
      </w:r>
      <w:r w:rsidR="008615F7">
        <w:t>’</w:t>
      </w:r>
      <w:r>
        <w:t>article 2 du Protocole n</w:t>
      </w:r>
      <w:r w:rsidR="003759D8" w:rsidRPr="003759D8">
        <w:rPr>
          <w:vertAlign w:val="superscript"/>
        </w:rPr>
        <w:t>o</w:t>
      </w:r>
      <w:r>
        <w:t xml:space="preserve"> 1 à la Convention.</w:t>
      </w:r>
      <w:r w:rsidR="00CE025A">
        <w:t xml:space="preserve"> Ils invoquent à cet égard l</w:t>
      </w:r>
      <w:r w:rsidR="008615F7">
        <w:t>’</w:t>
      </w:r>
      <w:r w:rsidR="00CE025A">
        <w:t>article 13 de la Convention.</w:t>
      </w:r>
    </w:p>
    <w:p w:rsidR="004F1323" w:rsidRPr="00ED565D" w:rsidRDefault="004F1323" w:rsidP="004F1323">
      <w:pPr>
        <w:pStyle w:val="JuPara"/>
      </w:pPr>
      <w:r>
        <w:fldChar w:fldCharType="begin"/>
      </w:r>
      <w:r>
        <w:instrText xml:space="preserve"> SEQ level0 \*arabic </w:instrText>
      </w:r>
      <w:r>
        <w:fldChar w:fldCharType="separate"/>
      </w:r>
      <w:r w:rsidR="00554499">
        <w:rPr>
          <w:noProof/>
        </w:rPr>
        <w:t>76</w:t>
      </w:r>
      <w:r>
        <w:fldChar w:fldCharType="end"/>
      </w:r>
      <w:r>
        <w:t>.  </w:t>
      </w:r>
      <w:r w:rsidR="00206AB7">
        <w:t xml:space="preserve">Constatant que </w:t>
      </w:r>
      <w:r w:rsidR="00206AB7" w:rsidRPr="000C18C3">
        <w:t>ce grief n</w:t>
      </w:r>
      <w:r w:rsidR="008615F7">
        <w:t>’</w:t>
      </w:r>
      <w:r w:rsidR="00206AB7" w:rsidRPr="000C18C3">
        <w:t>es</w:t>
      </w:r>
      <w:r w:rsidR="00206AB7">
        <w:t>t pas manifestement mal fondé</w:t>
      </w:r>
      <w:r w:rsidR="00206AB7" w:rsidRPr="000C18C3">
        <w:t xml:space="preserve"> au sens de l</w:t>
      </w:r>
      <w:r w:rsidR="008615F7">
        <w:t>’</w:t>
      </w:r>
      <w:r w:rsidR="00206AB7" w:rsidRPr="000C18C3">
        <w:t>article 35 § 3</w:t>
      </w:r>
      <w:r w:rsidR="00206AB7">
        <w:t xml:space="preserve"> a)</w:t>
      </w:r>
      <w:r w:rsidR="00206AB7" w:rsidRPr="000C18C3">
        <w:t xml:space="preserve"> de la Convention</w:t>
      </w:r>
      <w:r w:rsidR="00206AB7">
        <w:t xml:space="preserve"> et </w:t>
      </w:r>
      <w:r w:rsidR="00206AB7" w:rsidRPr="000C18C3">
        <w:t>qu</w:t>
      </w:r>
      <w:r w:rsidR="008615F7">
        <w:t>’</w:t>
      </w:r>
      <w:r w:rsidR="00206AB7" w:rsidRPr="000C18C3">
        <w:t>il ne se heurte à aucun autre motif d</w:t>
      </w:r>
      <w:r w:rsidR="008615F7">
        <w:t>’</w:t>
      </w:r>
      <w:r w:rsidR="00206AB7" w:rsidRPr="000C18C3">
        <w:t>irrecev</w:t>
      </w:r>
      <w:r w:rsidR="00206AB7">
        <w:t xml:space="preserve">abilité, la Cour </w:t>
      </w:r>
      <w:r w:rsidR="00206AB7" w:rsidRPr="000C18C3">
        <w:t>le déclare recevable.</w:t>
      </w:r>
    </w:p>
    <w:p w:rsidR="004F1323" w:rsidRPr="00ED565D" w:rsidRDefault="004F1323" w:rsidP="004F1323">
      <w:pPr>
        <w:pStyle w:val="JuPara"/>
      </w:pPr>
      <w:r w:rsidRPr="00ED565D">
        <w:fldChar w:fldCharType="begin"/>
      </w:r>
      <w:r w:rsidRPr="00ED565D">
        <w:instrText xml:space="preserve"> SEQ level0 \*arabic </w:instrText>
      </w:r>
      <w:r w:rsidRPr="00ED565D">
        <w:fldChar w:fldCharType="separate"/>
      </w:r>
      <w:r w:rsidR="00554499">
        <w:rPr>
          <w:noProof/>
        </w:rPr>
        <w:t>77</w:t>
      </w:r>
      <w:r w:rsidRPr="00ED565D">
        <w:fldChar w:fldCharType="end"/>
      </w:r>
      <w:r w:rsidRPr="00ED565D">
        <w:t>.  Cependant, la Cour estime, compte tenu de ses conclusions relatives à l</w:t>
      </w:r>
      <w:r w:rsidR="008615F7">
        <w:t>’</w:t>
      </w:r>
      <w:r w:rsidRPr="00ED565D">
        <w:t>exception de non-épuisement des voies de recours internes, qu</w:t>
      </w:r>
      <w:r w:rsidR="008615F7">
        <w:t>’</w:t>
      </w:r>
      <w:r w:rsidRPr="00ED565D">
        <w:t>il n</w:t>
      </w:r>
      <w:r w:rsidR="008615F7">
        <w:t>’</w:t>
      </w:r>
      <w:r w:rsidRPr="00ED565D">
        <w:t>y a pas lieu d</w:t>
      </w:r>
      <w:r w:rsidR="008615F7">
        <w:t>’</w:t>
      </w:r>
      <w:r w:rsidRPr="00ED565D">
        <w:t>examiner ce grief.</w:t>
      </w:r>
    </w:p>
    <w:p w:rsidR="00EC6427" w:rsidRPr="00520ECC" w:rsidRDefault="004F1323">
      <w:pPr>
        <w:pStyle w:val="JuHIRoman"/>
      </w:pPr>
      <w:r>
        <w:t>V</w:t>
      </w:r>
      <w:r w:rsidR="00EC6427" w:rsidRPr="00520ECC">
        <w:t>.  SUR L</w:t>
      </w:r>
      <w:r w:rsidR="008615F7">
        <w:t>’</w:t>
      </w:r>
      <w:r w:rsidR="00EC6427" w:rsidRPr="00520ECC">
        <w:t>APPLICATION DE</w:t>
      </w:r>
      <w:r w:rsidR="00EC791D">
        <w:t>S</w:t>
      </w:r>
      <w:r w:rsidR="00EC6427" w:rsidRPr="00520ECC">
        <w:t xml:space="preserve"> ARTICLE</w:t>
      </w:r>
      <w:r w:rsidR="00EC791D">
        <w:t>S</w:t>
      </w:r>
      <w:r w:rsidR="00EC6427" w:rsidRPr="00520ECC">
        <w:t xml:space="preserve"> 41</w:t>
      </w:r>
      <w:r w:rsidR="00EC791D">
        <w:t xml:space="preserve"> ET 46</w:t>
      </w:r>
      <w:r w:rsidR="00EC6427" w:rsidRPr="00520ECC">
        <w:t xml:space="preserve"> DE LA CONVENTION</w:t>
      </w:r>
    </w:p>
    <w:p w:rsidR="004542B7" w:rsidRDefault="00520ECC" w:rsidP="00B33C50">
      <w:pPr>
        <w:pStyle w:val="JuPara"/>
        <w:keepNext/>
        <w:keepLines/>
        <w:outlineLvl w:val="0"/>
      </w:pPr>
      <w:r w:rsidRPr="00520ECC">
        <w:fldChar w:fldCharType="begin"/>
      </w:r>
      <w:r w:rsidRPr="00520ECC">
        <w:instrText xml:space="preserve"> SEQ level0 \*arabic </w:instrText>
      </w:r>
      <w:r w:rsidRPr="00520ECC">
        <w:fldChar w:fldCharType="separate"/>
      </w:r>
      <w:r w:rsidR="00554499">
        <w:rPr>
          <w:noProof/>
        </w:rPr>
        <w:t>78</w:t>
      </w:r>
      <w:r w:rsidRPr="00520ECC">
        <w:fldChar w:fldCharType="end"/>
      </w:r>
      <w:r w:rsidR="00EC6427" w:rsidRPr="00520ECC">
        <w:t>.  </w:t>
      </w:r>
      <w:r w:rsidR="004542B7">
        <w:t xml:space="preserve">Les </w:t>
      </w:r>
      <w:r w:rsidR="00EC6427" w:rsidRPr="00520ECC">
        <w:t>article</w:t>
      </w:r>
      <w:r w:rsidR="004542B7">
        <w:t>s</w:t>
      </w:r>
      <w:r w:rsidR="00EC6427" w:rsidRPr="00520ECC">
        <w:t xml:space="preserve"> 41</w:t>
      </w:r>
      <w:r w:rsidR="004542B7">
        <w:t xml:space="preserve"> et 46 § 1 de la Convention disposent :</w:t>
      </w:r>
    </w:p>
    <w:p w:rsidR="004542B7" w:rsidRDefault="004542B7" w:rsidP="004542B7">
      <w:pPr>
        <w:pStyle w:val="JuHArticle"/>
      </w:pPr>
      <w:r>
        <w:t>Article 41</w:t>
      </w:r>
    </w:p>
    <w:p w:rsidR="00EC6427" w:rsidRDefault="00EC6427">
      <w:pPr>
        <w:pStyle w:val="JuQuot"/>
        <w:keepNext/>
        <w:keepLines/>
      </w:pPr>
      <w:r w:rsidRPr="00520ECC">
        <w:t>« Si la Cour déclare qu</w:t>
      </w:r>
      <w:r w:rsidR="008615F7">
        <w:t>’</w:t>
      </w:r>
      <w:r w:rsidRPr="00520ECC">
        <w:t>il y a eu violation de la Convention ou de ses Protocoles, et si le droit interne de la Haute Partie contractante ne permet d</w:t>
      </w:r>
      <w:r w:rsidR="008615F7">
        <w:t>’</w:t>
      </w:r>
      <w:r w:rsidRPr="00520ECC">
        <w:t>effacer qu</w:t>
      </w:r>
      <w:r w:rsidR="008615F7">
        <w:t>’</w:t>
      </w:r>
      <w:r w:rsidRPr="00520ECC">
        <w:t>imparfaitement les conséquences de cette violation, la Cour accorde à la partie lésée, s</w:t>
      </w:r>
      <w:r w:rsidR="008615F7">
        <w:t>’</w:t>
      </w:r>
      <w:r w:rsidRPr="00520ECC">
        <w:t>il y a lieu, une satisfaction équitable. »</w:t>
      </w:r>
    </w:p>
    <w:p w:rsidR="003707FD" w:rsidRDefault="003707FD" w:rsidP="003707FD">
      <w:pPr>
        <w:pStyle w:val="JuHArticle"/>
      </w:pPr>
      <w:r>
        <w:t>Article 46 § 1</w:t>
      </w:r>
    </w:p>
    <w:p w:rsidR="003707FD" w:rsidRPr="003707FD" w:rsidRDefault="003707FD" w:rsidP="003707FD">
      <w:pPr>
        <w:pStyle w:val="JuQuot"/>
      </w:pPr>
      <w:r>
        <w:t>« 1.  Les Hautes Parties contractantes s</w:t>
      </w:r>
      <w:r w:rsidR="008615F7">
        <w:t>’</w:t>
      </w:r>
      <w:r>
        <w:t>engagent à se conformer aux arrêts définitifs de la Cour dans les litiges auxquels elles sont parties. »</w:t>
      </w:r>
    </w:p>
    <w:p w:rsidR="00EC6427" w:rsidRPr="00520ECC" w:rsidRDefault="00EC6427" w:rsidP="00B33C50">
      <w:pPr>
        <w:pStyle w:val="JuHA"/>
        <w:outlineLvl w:val="0"/>
      </w:pPr>
      <w:r w:rsidRPr="00520ECC">
        <w:t>A.  Dommage</w:t>
      </w:r>
    </w:p>
    <w:p w:rsidR="00EC6427" w:rsidRPr="00520ECC" w:rsidRDefault="004F1323" w:rsidP="009E2D52">
      <w:pPr>
        <w:pStyle w:val="JuPara"/>
      </w:pPr>
      <w:r>
        <w:fldChar w:fldCharType="begin"/>
      </w:r>
      <w:r>
        <w:instrText xml:space="preserve"> SEQ level0 \*arabic </w:instrText>
      </w:r>
      <w:r>
        <w:fldChar w:fldCharType="separate"/>
      </w:r>
      <w:r w:rsidR="00554499">
        <w:rPr>
          <w:noProof/>
        </w:rPr>
        <w:t>79</w:t>
      </w:r>
      <w:r>
        <w:fldChar w:fldCharType="end"/>
      </w:r>
      <w:r>
        <w:t xml:space="preserve">.  Les requérants </w:t>
      </w:r>
      <w:r w:rsidR="004932DA" w:rsidRPr="00520ECC">
        <w:t>réclame</w:t>
      </w:r>
      <w:r w:rsidR="00520ECC" w:rsidRPr="00520ECC">
        <w:t>nt</w:t>
      </w:r>
      <w:r w:rsidR="006C5DB1">
        <w:t xml:space="preserve"> chacun 8 000</w:t>
      </w:r>
      <w:r w:rsidR="00EC6427" w:rsidRPr="00520ECC">
        <w:t xml:space="preserve"> eu</w:t>
      </w:r>
      <w:r w:rsidR="007506FE">
        <w:t xml:space="preserve">ros (EUR) </w:t>
      </w:r>
      <w:r w:rsidR="00206814">
        <w:t>pour</w:t>
      </w:r>
      <w:r w:rsidR="007506FE">
        <w:t xml:space="preserve"> préjudice</w:t>
      </w:r>
      <w:r w:rsidR="00EC6427" w:rsidRPr="00520ECC">
        <w:t xml:space="preserve"> </w:t>
      </w:r>
      <w:r w:rsidR="00EC6427" w:rsidRPr="00051C13">
        <w:t>moral</w:t>
      </w:r>
      <w:r w:rsidR="006E6094" w:rsidRPr="00051C13">
        <w:t>.</w:t>
      </w:r>
      <w:r w:rsidR="002F69AE" w:rsidRPr="00051C13">
        <w:t xml:space="preserve"> De plus, </w:t>
      </w:r>
      <w:r w:rsidR="00206814" w:rsidRPr="00051C13">
        <w:t>invoquant</w:t>
      </w:r>
      <w:r w:rsidR="002F69AE" w:rsidRPr="00051C13">
        <w:t xml:space="preserve"> l</w:t>
      </w:r>
      <w:r w:rsidR="008615F7">
        <w:t>’</w:t>
      </w:r>
      <w:r w:rsidR="002F69AE" w:rsidRPr="00051C13">
        <w:t>article 46 de la C</w:t>
      </w:r>
      <w:r w:rsidR="00A92374" w:rsidRPr="00051C13">
        <w:t xml:space="preserve">onvention, </w:t>
      </w:r>
      <w:r w:rsidR="00206814" w:rsidRPr="00051C13">
        <w:t>ils prient la Cour de</w:t>
      </w:r>
      <w:r w:rsidR="00206814">
        <w:t xml:space="preserve"> demander</w:t>
      </w:r>
      <w:r w:rsidR="00A92374">
        <w:t xml:space="preserve"> au Gouvernement </w:t>
      </w:r>
      <w:r w:rsidR="00206814">
        <w:t>d</w:t>
      </w:r>
      <w:r w:rsidR="008615F7">
        <w:t>’</w:t>
      </w:r>
      <w:r w:rsidR="00206814">
        <w:t>adopter</w:t>
      </w:r>
      <w:r w:rsidR="00A92374">
        <w:t xml:space="preserve"> un plan d</w:t>
      </w:r>
      <w:r w:rsidR="008615F7">
        <w:t>’</w:t>
      </w:r>
      <w:r w:rsidR="00A92374">
        <w:t>action national tendant, d</w:t>
      </w:r>
      <w:r w:rsidR="008615F7">
        <w:t>’</w:t>
      </w:r>
      <w:r w:rsidR="00A92374">
        <w:t xml:space="preserve">une part, à faire disparaître progressivement la ségrégation des </w:t>
      </w:r>
      <w:r w:rsidR="00206814">
        <w:t>R</w:t>
      </w:r>
      <w:r w:rsidR="00A92374">
        <w:t>oms dans les écoles en Grèce et, d</w:t>
      </w:r>
      <w:r w:rsidR="008615F7">
        <w:t>’</w:t>
      </w:r>
      <w:r w:rsidR="00A92374">
        <w:t xml:space="preserve">autre part, à </w:t>
      </w:r>
      <w:r w:rsidR="00051C13">
        <w:t xml:space="preserve">procéder à </w:t>
      </w:r>
      <w:r w:rsidR="00CE025A">
        <w:t xml:space="preserve">une </w:t>
      </w:r>
      <w:r w:rsidR="00051C13">
        <w:t>nouvelle répartition d</w:t>
      </w:r>
      <w:r w:rsidR="00A92374">
        <w:t xml:space="preserve">es </w:t>
      </w:r>
      <w:r w:rsidR="009623B3">
        <w:t xml:space="preserve">élèves </w:t>
      </w:r>
      <w:r w:rsidR="00A92374">
        <w:t xml:space="preserve">dans les écoles publiques de Sofades </w:t>
      </w:r>
      <w:r w:rsidR="009623B3">
        <w:t>de manière à refléter la mixité de la population de cette commune.</w:t>
      </w:r>
    </w:p>
    <w:p w:rsidR="00EC6427" w:rsidRPr="00520ECC" w:rsidRDefault="00520ECC" w:rsidP="00B33C50">
      <w:pPr>
        <w:pStyle w:val="JuPara"/>
        <w:outlineLvl w:val="0"/>
      </w:pPr>
      <w:r w:rsidRPr="00520ECC">
        <w:fldChar w:fldCharType="begin"/>
      </w:r>
      <w:r w:rsidRPr="00520ECC">
        <w:instrText xml:space="preserve"> SEQ level0 \*arabic </w:instrText>
      </w:r>
      <w:r w:rsidRPr="00520ECC">
        <w:fldChar w:fldCharType="separate"/>
      </w:r>
      <w:r w:rsidR="00554499">
        <w:rPr>
          <w:noProof/>
        </w:rPr>
        <w:t>80</w:t>
      </w:r>
      <w:r w:rsidRPr="00520ECC">
        <w:fldChar w:fldCharType="end"/>
      </w:r>
      <w:r w:rsidR="00F62715">
        <w:t xml:space="preserve">.  Le Gouvernement </w:t>
      </w:r>
      <w:r w:rsidR="00CE025A">
        <w:t>expose</w:t>
      </w:r>
      <w:r w:rsidR="00F62715">
        <w:t xml:space="preserve"> que l</w:t>
      </w:r>
      <w:r w:rsidR="00051C13">
        <w:t>e dommage accordé en réparation d</w:t>
      </w:r>
      <w:r w:rsidR="008615F7">
        <w:t>’</w:t>
      </w:r>
      <w:r w:rsidR="00F62715">
        <w:t>une atteinte au droit d</w:t>
      </w:r>
      <w:r w:rsidR="008615F7">
        <w:t>’</w:t>
      </w:r>
      <w:r w:rsidR="00F62715">
        <w:t>accès à l</w:t>
      </w:r>
      <w:r w:rsidR="008615F7">
        <w:t>’</w:t>
      </w:r>
      <w:r w:rsidR="00F62715">
        <w:t xml:space="preserve">instruction ne peut pas </w:t>
      </w:r>
      <w:r w:rsidR="001325DA">
        <w:t xml:space="preserve">revêtir un caractère </w:t>
      </w:r>
      <w:r w:rsidR="00F62715">
        <w:t>pécuniaire.</w:t>
      </w:r>
      <w:r w:rsidR="00FA10AE">
        <w:t xml:space="preserve"> A cet égard, il affirme que les </w:t>
      </w:r>
      <w:r w:rsidR="00CE025A">
        <w:t xml:space="preserve">parents </w:t>
      </w:r>
      <w:r w:rsidR="00FA10AE">
        <w:t>requérants ont toujours la possibilité de demander l</w:t>
      </w:r>
      <w:r w:rsidR="008615F7">
        <w:t>’</w:t>
      </w:r>
      <w:r w:rsidR="00FA10AE">
        <w:t xml:space="preserve">inscription </w:t>
      </w:r>
      <w:r w:rsidR="00CE025A">
        <w:t xml:space="preserve">des élèves requérants </w:t>
      </w:r>
      <w:r w:rsidR="00FA10AE">
        <w:t>dans une autre école publique. De plus, il considère que le constat d</w:t>
      </w:r>
      <w:r w:rsidR="008615F7">
        <w:t>’</w:t>
      </w:r>
      <w:r w:rsidR="00FA10AE">
        <w:t xml:space="preserve">une violation constituerait </w:t>
      </w:r>
      <w:r w:rsidR="003226D6">
        <w:t xml:space="preserve">en soi </w:t>
      </w:r>
      <w:r w:rsidR="00FA10AE">
        <w:t>une sa</w:t>
      </w:r>
      <w:r w:rsidR="009045F0">
        <w:t>tisfaction équitable suffisante. Néanmoins</w:t>
      </w:r>
      <w:r w:rsidR="00051C13">
        <w:t xml:space="preserve">, </w:t>
      </w:r>
      <w:r w:rsidR="00FD2BA4">
        <w:t>dans le</w:t>
      </w:r>
      <w:r w:rsidR="00051C13">
        <w:t xml:space="preserve"> cas où </w:t>
      </w:r>
      <w:r w:rsidR="009045F0">
        <w:t xml:space="preserve">la Cour </w:t>
      </w:r>
      <w:r w:rsidR="00051C13">
        <w:t>octroierait des dommages</w:t>
      </w:r>
      <w:r w:rsidR="009045F0">
        <w:t xml:space="preserve">, </w:t>
      </w:r>
      <w:r w:rsidR="00FD2BA4">
        <w:t>il</w:t>
      </w:r>
      <w:r w:rsidR="00354088">
        <w:t xml:space="preserve"> invite la Cour à réduire le montant réclamé,</w:t>
      </w:r>
      <w:r w:rsidR="009045F0">
        <w:t xml:space="preserve"> exorbitant</w:t>
      </w:r>
      <w:r w:rsidR="00354088">
        <w:t xml:space="preserve"> à ses yeux. Il considère que la somme demandée est</w:t>
      </w:r>
      <w:r w:rsidR="00FD2BA4">
        <w:t xml:space="preserve"> </w:t>
      </w:r>
      <w:r w:rsidR="009045F0">
        <w:t>d</w:t>
      </w:r>
      <w:r w:rsidR="008615F7">
        <w:t>’</w:t>
      </w:r>
      <w:r w:rsidR="009045F0">
        <w:t xml:space="preserve">autant plus </w:t>
      </w:r>
      <w:r w:rsidR="00354088">
        <w:t xml:space="preserve">injustifiée </w:t>
      </w:r>
      <w:r w:rsidR="009045F0">
        <w:t>qu</w:t>
      </w:r>
      <w:r w:rsidR="008615F7">
        <w:t>’</w:t>
      </w:r>
      <w:r w:rsidR="00354088">
        <w:t>elle</w:t>
      </w:r>
      <w:r w:rsidR="009045F0">
        <w:t xml:space="preserve"> </w:t>
      </w:r>
      <w:r w:rsidR="00F224BC">
        <w:t>est</w:t>
      </w:r>
      <w:r w:rsidR="009045F0">
        <w:t xml:space="preserve"> sollicité</w:t>
      </w:r>
      <w:r w:rsidR="00354088">
        <w:t>e</w:t>
      </w:r>
      <w:r w:rsidR="009045F0">
        <w:t xml:space="preserve"> pour chaque requérant et non pour chaque famille ou chaque élève. </w:t>
      </w:r>
      <w:r w:rsidR="00FD2BA4">
        <w:t>Il ajoute que l</w:t>
      </w:r>
      <w:r w:rsidR="009045F0">
        <w:t>a situation financière de l</w:t>
      </w:r>
      <w:r w:rsidR="008615F7">
        <w:t>’</w:t>
      </w:r>
      <w:r w:rsidR="009045F0">
        <w:t>Etat défendeur dev</w:t>
      </w:r>
      <w:r w:rsidR="00FD2BA4">
        <w:t>r</w:t>
      </w:r>
      <w:r w:rsidR="009045F0">
        <w:t xml:space="preserve">ait également être prise en compte pour que le montant de la satisfaction équitable soit </w:t>
      </w:r>
      <w:r w:rsidR="004F4201">
        <w:t xml:space="preserve">fixé </w:t>
      </w:r>
      <w:r w:rsidR="009045F0">
        <w:t>en équité.</w:t>
      </w:r>
      <w:r w:rsidR="009623B3">
        <w:t xml:space="preserve"> Quant à l</w:t>
      </w:r>
      <w:r w:rsidR="008615F7">
        <w:t>’</w:t>
      </w:r>
      <w:r w:rsidR="009623B3">
        <w:t>application de l</w:t>
      </w:r>
      <w:r w:rsidR="008615F7">
        <w:t>’</w:t>
      </w:r>
      <w:r w:rsidR="009623B3">
        <w:t xml:space="preserve">article 46, </w:t>
      </w:r>
      <w:r w:rsidR="00FD2BA4">
        <w:t>il</w:t>
      </w:r>
      <w:r w:rsidR="009623B3">
        <w:t xml:space="preserve"> l</w:t>
      </w:r>
      <w:r w:rsidR="008615F7">
        <w:t>’</w:t>
      </w:r>
      <w:r w:rsidR="009623B3">
        <w:t xml:space="preserve">estime </w:t>
      </w:r>
      <w:r w:rsidR="00FD2BA4">
        <w:t>dépourvue de</w:t>
      </w:r>
      <w:r w:rsidR="009623B3">
        <w:t xml:space="preserve"> pertinence : </w:t>
      </w:r>
      <w:r w:rsidR="00987153">
        <w:t>la présente requête ne s</w:t>
      </w:r>
      <w:r w:rsidR="008615F7">
        <w:t>’</w:t>
      </w:r>
      <w:r w:rsidR="00987153">
        <w:t>inscri</w:t>
      </w:r>
      <w:r w:rsidR="00FD2BA4">
        <w:t>rait</w:t>
      </w:r>
      <w:r w:rsidR="00987153">
        <w:t xml:space="preserve"> pas dans le cadre d</w:t>
      </w:r>
      <w:r w:rsidR="008615F7">
        <w:t>’</w:t>
      </w:r>
      <w:r w:rsidR="00987153">
        <w:t>une procédure « pilote » et aucun problème structurel ne se pose</w:t>
      </w:r>
      <w:r w:rsidR="00FD2BA4">
        <w:t>rait</w:t>
      </w:r>
      <w:r w:rsidR="00987153">
        <w:t xml:space="preserve"> en l</w:t>
      </w:r>
      <w:r w:rsidR="008615F7">
        <w:t>’</w:t>
      </w:r>
      <w:r w:rsidR="00987153">
        <w:t>espèce.</w:t>
      </w:r>
    </w:p>
    <w:p w:rsidR="00EC6427" w:rsidRDefault="00520ECC" w:rsidP="009E2D52">
      <w:pPr>
        <w:pStyle w:val="JuPara"/>
      </w:pPr>
      <w:r w:rsidRPr="00520ECC">
        <w:fldChar w:fldCharType="begin"/>
      </w:r>
      <w:r w:rsidRPr="00520ECC">
        <w:instrText xml:space="preserve"> SEQ level0 \*arabic </w:instrText>
      </w:r>
      <w:r w:rsidRPr="00520ECC">
        <w:fldChar w:fldCharType="separate"/>
      </w:r>
      <w:r w:rsidR="00554499">
        <w:rPr>
          <w:noProof/>
        </w:rPr>
        <w:t>81</w:t>
      </w:r>
      <w:r w:rsidRPr="00520ECC">
        <w:fldChar w:fldCharType="end"/>
      </w:r>
      <w:r w:rsidR="00EC6427" w:rsidRPr="00520ECC">
        <w:t>.  </w:t>
      </w:r>
      <w:r w:rsidR="006E6094">
        <w:t>La Cour</w:t>
      </w:r>
      <w:r w:rsidR="00E20DB0">
        <w:t xml:space="preserve"> </w:t>
      </w:r>
      <w:r w:rsidR="00404775">
        <w:rPr>
          <w:rStyle w:val="sb8d990e2"/>
        </w:rPr>
        <w:t>considère que les requérants ont sans nul doute subi un dommage moral – en particulier du fait de la frustration due à la discrimination dont ils ont été victimes – et que le constat de violation de la Convention</w:t>
      </w:r>
      <w:r w:rsidR="0044455C">
        <w:rPr>
          <w:rStyle w:val="sb8d990e2"/>
        </w:rPr>
        <w:t>,</w:t>
      </w:r>
      <w:r w:rsidR="00404775">
        <w:rPr>
          <w:rStyle w:val="sb8d990e2"/>
        </w:rPr>
        <w:t xml:space="preserve"> </w:t>
      </w:r>
      <w:r w:rsidR="0044455C">
        <w:rPr>
          <w:rStyle w:val="sb8d990e2"/>
        </w:rPr>
        <w:t>pour une situation qui a perduré jusqu</w:t>
      </w:r>
      <w:r w:rsidR="008615F7">
        <w:rPr>
          <w:rStyle w:val="sb8d990e2"/>
        </w:rPr>
        <w:t>’</w:t>
      </w:r>
      <w:r w:rsidR="0044455C">
        <w:rPr>
          <w:rStyle w:val="sb8d990e2"/>
        </w:rPr>
        <w:t xml:space="preserve">à la rentrée scolaire 2012-2013, </w:t>
      </w:r>
      <w:r w:rsidR="00404775">
        <w:rPr>
          <w:rStyle w:val="sb8d990e2"/>
        </w:rPr>
        <w:t xml:space="preserve">ne constitue pas une réparation suffisante à cet égard. Elle juge toutefois excessif le montant réclamé par </w:t>
      </w:r>
      <w:r w:rsidR="00F224BC">
        <w:rPr>
          <w:rStyle w:val="sb8d990e2"/>
        </w:rPr>
        <w:t>chacun d</w:t>
      </w:r>
      <w:r w:rsidR="00404775">
        <w:rPr>
          <w:rStyle w:val="sb8d990e2"/>
        </w:rPr>
        <w:t>es intéressés. Statuant en équité, elle alloue à chacune des familles requérant</w:t>
      </w:r>
      <w:r w:rsidR="00305A0A">
        <w:rPr>
          <w:rStyle w:val="sb8d990e2"/>
        </w:rPr>
        <w:t>es la somme de 1 000 </w:t>
      </w:r>
      <w:r w:rsidR="00404775">
        <w:rPr>
          <w:rStyle w:val="sb8d990e2"/>
        </w:rPr>
        <w:t xml:space="preserve">EUR </w:t>
      </w:r>
      <w:r w:rsidR="00F224BC">
        <w:rPr>
          <w:rStyle w:val="sb8d990e2"/>
        </w:rPr>
        <w:t>pour</w:t>
      </w:r>
      <w:r w:rsidR="00404775">
        <w:rPr>
          <w:rStyle w:val="sb8d990e2"/>
        </w:rPr>
        <w:t xml:space="preserve"> dommage moral.</w:t>
      </w:r>
    </w:p>
    <w:p w:rsidR="00DB576D" w:rsidRPr="00E370C0" w:rsidRDefault="00375986" w:rsidP="00DB576D">
      <w:pPr>
        <w:pStyle w:val="JuPara"/>
      </w:pPr>
      <w:r>
        <w:fldChar w:fldCharType="begin"/>
      </w:r>
      <w:r>
        <w:instrText xml:space="preserve"> SEQ level0 \*arabic </w:instrText>
      </w:r>
      <w:r>
        <w:fldChar w:fldCharType="separate"/>
      </w:r>
      <w:r w:rsidR="00554499">
        <w:rPr>
          <w:noProof/>
        </w:rPr>
        <w:t>82</w:t>
      </w:r>
      <w:r>
        <w:fldChar w:fldCharType="end"/>
      </w:r>
      <w:r>
        <w:t>.  </w:t>
      </w:r>
      <w:r w:rsidR="00DB576D" w:rsidRPr="00E370C0">
        <w:t xml:space="preserve">En outre, en ce qui concerne la demande </w:t>
      </w:r>
      <w:r w:rsidR="00F224BC">
        <w:t>présentée par l</w:t>
      </w:r>
      <w:r w:rsidR="00DB576D" w:rsidRPr="00E370C0">
        <w:t>es requérants en vertu de l</w:t>
      </w:r>
      <w:r w:rsidR="008615F7">
        <w:t>’</w:t>
      </w:r>
      <w:r w:rsidR="00DB576D" w:rsidRPr="00E370C0">
        <w:t xml:space="preserve">article 46 de la </w:t>
      </w:r>
      <w:r w:rsidR="00BA792F">
        <w:t>Convention, la Cour rappelle qu</w:t>
      </w:r>
      <w:r w:rsidR="008615F7">
        <w:t>’</w:t>
      </w:r>
      <w:r w:rsidR="00BA792F">
        <w:t xml:space="preserve">un </w:t>
      </w:r>
      <w:r w:rsidR="00DB576D" w:rsidRPr="00E370C0">
        <w:t>arrêt constatant une violation entraîne pour l</w:t>
      </w:r>
      <w:r w:rsidR="008615F7">
        <w:t>’</w:t>
      </w:r>
      <w:r w:rsidR="00DB576D" w:rsidRPr="00E370C0">
        <w:t>Etat défendeur l</w:t>
      </w:r>
      <w:r w:rsidR="008615F7">
        <w:t>’</w:t>
      </w:r>
      <w:r w:rsidR="00DB576D" w:rsidRPr="00E370C0">
        <w:t>obligation juridique au regard de cette disposition de mettre un terme à la violation et d</w:t>
      </w:r>
      <w:r w:rsidR="008615F7">
        <w:t>’</w:t>
      </w:r>
      <w:r w:rsidR="00DB576D" w:rsidRPr="00E370C0">
        <w:t>en effacer les conséquences de manière à rétablir</w:t>
      </w:r>
      <w:r w:rsidR="00DB576D">
        <w:t>,</w:t>
      </w:r>
      <w:r w:rsidR="00DB576D" w:rsidRPr="00E370C0">
        <w:t xml:space="preserve"> autant que faire se peut</w:t>
      </w:r>
      <w:r w:rsidR="00DB576D">
        <w:t>,</w:t>
      </w:r>
      <w:r w:rsidR="00DB576D" w:rsidRPr="00E370C0">
        <w:t xml:space="preserve"> la situation antérieure à celle-ci.</w:t>
      </w:r>
      <w:r w:rsidR="00DB576D" w:rsidRPr="00E370C0">
        <w:rPr>
          <w:rStyle w:val="ju--005fpara----char--char"/>
          <w:b/>
          <w:bCs/>
        </w:rPr>
        <w:t xml:space="preserve"> </w:t>
      </w:r>
      <w:r w:rsidR="00DB576D" w:rsidRPr="00E370C0">
        <w:t>Il en découle notamment que l</w:t>
      </w:r>
      <w:r w:rsidR="008615F7">
        <w:t>’</w:t>
      </w:r>
      <w:r w:rsidR="00DB576D" w:rsidRPr="00E370C0">
        <w:t>Etat défendeur, reconnu responsable d</w:t>
      </w:r>
      <w:r w:rsidR="008615F7">
        <w:t>’</w:t>
      </w:r>
      <w:r w:rsidR="00DB576D" w:rsidRPr="00E370C0">
        <w:t xml:space="preserve">une violation de la Convention ou de ses Protocoles, est appelé non seulement à verser aux </w:t>
      </w:r>
      <w:r w:rsidR="00354088">
        <w:t>requérants</w:t>
      </w:r>
      <w:r w:rsidR="00DB576D" w:rsidRPr="00E370C0">
        <w:t xml:space="preserve"> les sommes allouées à titre de satisfaction équitable, mais aussi à choisir, sous le contrôle du Comité des Ministres, les mesures générales et/ou, le cas échéant, individuelles à adopter dans son ordre juridique interne</w:t>
      </w:r>
      <w:bookmarkStart w:id="1" w:name="01000017"/>
      <w:bookmarkEnd w:id="1"/>
      <w:r w:rsidR="00DB576D" w:rsidRPr="00E370C0">
        <w:t xml:space="preserve"> (</w:t>
      </w:r>
      <w:bookmarkStart w:id="2" w:name="01000018"/>
      <w:bookmarkStart w:id="3" w:name="01000019"/>
      <w:bookmarkEnd w:id="2"/>
      <w:bookmarkEnd w:id="3"/>
      <w:r w:rsidR="00DB576D" w:rsidRPr="00126AAD">
        <w:rPr>
          <w:i/>
        </w:rPr>
        <w:t>Ilaşcu et autres c. Moldova et Russie</w:t>
      </w:r>
      <w:r w:rsidR="00DB576D" w:rsidRPr="00E370C0">
        <w:rPr>
          <w:rStyle w:val="ju-005fpara-002cleft-002cfirst-0020line-003a-0020-00200-0020cm--char"/>
          <w:i/>
          <w:iCs/>
        </w:rPr>
        <w:t xml:space="preserve"> </w:t>
      </w:r>
      <w:r w:rsidR="00DB576D" w:rsidRPr="00E370C0">
        <w:t>[GC], n</w:t>
      </w:r>
      <w:r w:rsidR="00DB576D" w:rsidRPr="00E370C0">
        <w:rPr>
          <w:vertAlign w:val="superscript"/>
        </w:rPr>
        <w:t>o</w:t>
      </w:r>
      <w:r w:rsidR="00DB576D">
        <w:t xml:space="preserve"> </w:t>
      </w:r>
      <w:r w:rsidR="00DB576D" w:rsidRPr="00E370C0">
        <w:t>48787/99, § 487, CEDH 2004-VII</w:t>
      </w:r>
      <w:r w:rsidR="00F224BC">
        <w:t>, et</w:t>
      </w:r>
      <w:r w:rsidR="00DB576D" w:rsidRPr="00E370C0">
        <w:rPr>
          <w:rStyle w:val="ju-005fpara-002cleft-002cfirst-0020line-003a-0020-00200-0020cm--char"/>
          <w:i/>
          <w:iCs/>
        </w:rPr>
        <w:t xml:space="preserve"> </w:t>
      </w:r>
      <w:r w:rsidR="00DB576D" w:rsidRPr="00126AAD">
        <w:rPr>
          <w:i/>
        </w:rPr>
        <w:t>Assanidzé c. Géorgie</w:t>
      </w:r>
      <w:r w:rsidR="00DB576D" w:rsidRPr="00E370C0">
        <w:rPr>
          <w:rStyle w:val="ju-005fpara-002cleft-002cfirst-0020line-003a-0020-00200-0020cm--char"/>
          <w:i/>
          <w:iCs/>
        </w:rPr>
        <w:t xml:space="preserve"> </w:t>
      </w:r>
      <w:r w:rsidR="00DB576D" w:rsidRPr="00E370C0">
        <w:t>[GC], n</w:t>
      </w:r>
      <w:r w:rsidR="00DB576D" w:rsidRPr="00E370C0">
        <w:rPr>
          <w:vertAlign w:val="superscript"/>
        </w:rPr>
        <w:t>o</w:t>
      </w:r>
      <w:r w:rsidR="00DB576D" w:rsidRPr="00E370C0">
        <w:t> 71503/01, § 198, CEDH 2004-II). De surcroît, il résulte de la Convention, et notamment de son article 1, qu</w:t>
      </w:r>
      <w:r w:rsidR="008615F7">
        <w:t>’</w:t>
      </w:r>
      <w:r w:rsidR="00DB576D" w:rsidRPr="00E370C0">
        <w:t>en ratifiant la Convention les Etats contractants s</w:t>
      </w:r>
      <w:r w:rsidR="008615F7">
        <w:t>’</w:t>
      </w:r>
      <w:r w:rsidR="00DB576D" w:rsidRPr="00E370C0">
        <w:t xml:space="preserve">engagent à faire en sorte que leur droit interne soit compatible avec celle-ci. Par conséquent, </w:t>
      </w:r>
      <w:r w:rsidR="008534D7">
        <w:t>en l</w:t>
      </w:r>
      <w:r w:rsidR="008615F7">
        <w:t>’</w:t>
      </w:r>
      <w:r w:rsidR="008534D7">
        <w:t xml:space="preserve">espèce, </w:t>
      </w:r>
      <w:r w:rsidR="00DB576D" w:rsidRPr="00E370C0">
        <w:t>il appartient à l</w:t>
      </w:r>
      <w:r w:rsidR="008615F7">
        <w:t>’</w:t>
      </w:r>
      <w:r w:rsidR="00DB576D" w:rsidRPr="00E370C0">
        <w:t>Etat défendeur d</w:t>
      </w:r>
      <w:r w:rsidR="008615F7">
        <w:t>’</w:t>
      </w:r>
      <w:r w:rsidR="00DB576D" w:rsidRPr="00E370C0">
        <w:t xml:space="preserve">éliminer, dans son ordre juridique interne, tout obstacle éventuel à un redressement adéquat de la situation </w:t>
      </w:r>
      <w:r w:rsidR="00DB576D">
        <w:t>des</w:t>
      </w:r>
      <w:r w:rsidR="00DB576D" w:rsidRPr="00E370C0">
        <w:t xml:space="preserve"> requérant</w:t>
      </w:r>
      <w:r w:rsidR="00DB576D">
        <w:t>s au vu des conclusions du présent arrêt</w:t>
      </w:r>
      <w:r w:rsidR="00DB576D" w:rsidRPr="00DB576D">
        <w:rPr>
          <w:i/>
        </w:rPr>
        <w:t xml:space="preserve"> </w:t>
      </w:r>
      <w:r w:rsidR="00DB576D" w:rsidRPr="008534D7">
        <w:t>(</w:t>
      </w:r>
      <w:r w:rsidR="00DB576D" w:rsidRPr="006E6094">
        <w:rPr>
          <w:i/>
        </w:rPr>
        <w:t>Dimitras et autres c. Grè</w:t>
      </w:r>
      <w:r w:rsidR="00DB576D">
        <w:rPr>
          <w:i/>
        </w:rPr>
        <w:t>ce (n</w:t>
      </w:r>
      <w:r w:rsidR="003759D8" w:rsidRPr="003759D8">
        <w:rPr>
          <w:i/>
          <w:vertAlign w:val="superscript"/>
        </w:rPr>
        <w:t>o</w:t>
      </w:r>
      <w:r w:rsidR="00DB576D">
        <w:rPr>
          <w:i/>
        </w:rPr>
        <w:t> </w:t>
      </w:r>
      <w:r w:rsidR="00DB576D" w:rsidRPr="006E6094">
        <w:rPr>
          <w:i/>
        </w:rPr>
        <w:t>2)</w:t>
      </w:r>
      <w:r w:rsidR="00DB576D">
        <w:t>, n</w:t>
      </w:r>
      <w:r w:rsidR="008534D7" w:rsidRPr="008534D7">
        <w:rPr>
          <w:vertAlign w:val="superscript"/>
        </w:rPr>
        <w:t>os</w:t>
      </w:r>
      <w:r w:rsidR="008534D7">
        <w:t> </w:t>
      </w:r>
      <w:r w:rsidR="00DB576D">
        <w:t>34207/08 et n</w:t>
      </w:r>
      <w:r w:rsidR="003759D8" w:rsidRPr="003759D8">
        <w:rPr>
          <w:vertAlign w:val="superscript"/>
        </w:rPr>
        <w:t>o</w:t>
      </w:r>
      <w:r w:rsidR="00DB576D">
        <w:t> 6365/09, § 43, 3 novembre 2011).</w:t>
      </w:r>
    </w:p>
    <w:p w:rsidR="00EC6427" w:rsidRPr="00520ECC" w:rsidRDefault="00EC6427" w:rsidP="00B33C50">
      <w:pPr>
        <w:pStyle w:val="JuHA"/>
        <w:outlineLvl w:val="0"/>
      </w:pPr>
      <w:r w:rsidRPr="00520ECC">
        <w:t>B.  Frais et dépens</w:t>
      </w:r>
    </w:p>
    <w:p w:rsidR="00F16B62" w:rsidRPr="00520ECC" w:rsidRDefault="00520ECC" w:rsidP="00F16B62">
      <w:pPr>
        <w:pStyle w:val="JuPara"/>
      </w:pPr>
      <w:r w:rsidRPr="00520ECC">
        <w:fldChar w:fldCharType="begin"/>
      </w:r>
      <w:r w:rsidRPr="00520ECC">
        <w:instrText xml:space="preserve"> SEQ level0 \*arabic </w:instrText>
      </w:r>
      <w:r w:rsidRPr="00520ECC">
        <w:fldChar w:fldCharType="separate"/>
      </w:r>
      <w:r w:rsidR="00554499">
        <w:rPr>
          <w:noProof/>
        </w:rPr>
        <w:t>83</w:t>
      </w:r>
      <w:r w:rsidRPr="00520ECC">
        <w:fldChar w:fldCharType="end"/>
      </w:r>
      <w:r w:rsidR="00EC6427" w:rsidRPr="00520ECC">
        <w:t>.  </w:t>
      </w:r>
      <w:r w:rsidRPr="00520ECC">
        <w:t>Les requérants</w:t>
      </w:r>
      <w:r w:rsidR="004932DA" w:rsidRPr="00520ECC">
        <w:t xml:space="preserve"> demande</w:t>
      </w:r>
      <w:r w:rsidRPr="00520ECC">
        <w:t>nt</w:t>
      </w:r>
      <w:r w:rsidR="002A4A7B">
        <w:t xml:space="preserve"> également</w:t>
      </w:r>
      <w:r w:rsidR="005A3633">
        <w:t xml:space="preserve"> conjointement</w:t>
      </w:r>
      <w:r w:rsidR="002A4A7B">
        <w:t xml:space="preserve"> 5 000 </w:t>
      </w:r>
      <w:r w:rsidR="00EC6427" w:rsidRPr="00520ECC">
        <w:t xml:space="preserve">EUR pour les frais et dépens </w:t>
      </w:r>
      <w:r w:rsidR="00147398" w:rsidRPr="00520ECC">
        <w:t>engagés</w:t>
      </w:r>
      <w:r w:rsidR="00EC6427" w:rsidRPr="00520ECC">
        <w:t xml:space="preserve"> devant les </w:t>
      </w:r>
      <w:r w:rsidR="002A4A7B">
        <w:t xml:space="preserve">autorités </w:t>
      </w:r>
      <w:r w:rsidR="00EC6427" w:rsidRPr="00520ECC">
        <w:t>internes et devant la Cour.</w:t>
      </w:r>
      <w:r w:rsidR="00044BA1">
        <w:t xml:space="preserve"> Ils prétendent que leur</w:t>
      </w:r>
      <w:r w:rsidR="007D074E">
        <w:t>s</w:t>
      </w:r>
      <w:r w:rsidR="00044BA1">
        <w:t xml:space="preserve"> représentants, avocats du Greek Helsinki Monitor, ont travaillé </w:t>
      </w:r>
      <w:r w:rsidR="00F224BC">
        <w:t>cinquante</w:t>
      </w:r>
      <w:r w:rsidR="00044BA1">
        <w:t xml:space="preserve"> heures au total pour leur affaire (</w:t>
      </w:r>
      <w:r w:rsidR="00F224BC">
        <w:t>seize</w:t>
      </w:r>
      <w:r w:rsidR="00044BA1">
        <w:t xml:space="preserve"> heures pour une rencontre</w:t>
      </w:r>
      <w:r w:rsidR="007D074E">
        <w:t xml:space="preserve"> avec eux</w:t>
      </w:r>
      <w:r w:rsidR="00044BA1">
        <w:t xml:space="preserve"> à Sofades</w:t>
      </w:r>
      <w:r w:rsidR="00F224BC">
        <w:t xml:space="preserve"> et</w:t>
      </w:r>
      <w:r w:rsidR="00044BA1">
        <w:t xml:space="preserve"> </w:t>
      </w:r>
      <w:r w:rsidR="00F224BC">
        <w:t>douze</w:t>
      </w:r>
      <w:r w:rsidR="00044BA1">
        <w:t xml:space="preserve"> heures pour rédiger dix lettres à l</w:t>
      </w:r>
      <w:r w:rsidR="008615F7">
        <w:t>’</w:t>
      </w:r>
      <w:r w:rsidR="00044BA1">
        <w:t xml:space="preserve">attention du Gouvernement) et </w:t>
      </w:r>
      <w:r w:rsidR="00F224BC">
        <w:t>vingt-deux</w:t>
      </w:r>
      <w:r w:rsidR="00044BA1">
        <w:t xml:space="preserve"> heures pour la rédaction de la requête</w:t>
      </w:r>
      <w:r w:rsidR="00BA792F">
        <w:t xml:space="preserve"> et des observations en réponse</w:t>
      </w:r>
      <w:r w:rsidR="00387FF5">
        <w:t>,</w:t>
      </w:r>
      <w:r w:rsidR="00044BA1">
        <w:t xml:space="preserve"> </w:t>
      </w:r>
      <w:r w:rsidR="00F62715">
        <w:t xml:space="preserve">au tarif </w:t>
      </w:r>
      <w:r w:rsidR="00044BA1">
        <w:t xml:space="preserve">horaire </w:t>
      </w:r>
      <w:r w:rsidR="00F62715">
        <w:t>de</w:t>
      </w:r>
      <w:r w:rsidR="00044BA1">
        <w:t xml:space="preserve"> 100 EUR.</w:t>
      </w:r>
      <w:r w:rsidR="00F16B62">
        <w:t xml:space="preserve"> </w:t>
      </w:r>
      <w:r w:rsidR="006E6094">
        <w:t>Ils demandent que cette somme soit versée</w:t>
      </w:r>
      <w:r w:rsidR="00F16B62">
        <w:t xml:space="preserve"> directement sur le compte bancaire </w:t>
      </w:r>
      <w:r w:rsidR="00387FF5">
        <w:t>du</w:t>
      </w:r>
      <w:r w:rsidR="00C5276B">
        <w:t xml:space="preserve"> Greek Helsinki Monitor</w:t>
      </w:r>
      <w:r w:rsidR="00F16B62">
        <w:t>.</w:t>
      </w:r>
    </w:p>
    <w:p w:rsidR="00EC6427" w:rsidRPr="00520ECC" w:rsidRDefault="00520ECC" w:rsidP="00B33C50">
      <w:pPr>
        <w:pStyle w:val="JuPara"/>
        <w:outlineLvl w:val="0"/>
      </w:pPr>
      <w:r w:rsidRPr="00520ECC">
        <w:fldChar w:fldCharType="begin"/>
      </w:r>
      <w:r w:rsidRPr="00520ECC">
        <w:instrText xml:space="preserve"> SEQ level0 \*arabic </w:instrText>
      </w:r>
      <w:r w:rsidRPr="00520ECC">
        <w:fldChar w:fldCharType="separate"/>
      </w:r>
      <w:r w:rsidR="00554499">
        <w:rPr>
          <w:noProof/>
        </w:rPr>
        <w:t>84</w:t>
      </w:r>
      <w:r w:rsidRPr="00520ECC">
        <w:fldChar w:fldCharType="end"/>
      </w:r>
      <w:r w:rsidR="002D04A9">
        <w:t xml:space="preserve">.  Le Gouvernement </w:t>
      </w:r>
      <w:r w:rsidR="00F224BC">
        <w:t xml:space="preserve">soutient </w:t>
      </w:r>
      <w:r w:rsidR="002D04A9">
        <w:t xml:space="preserve">que les démarches des requérants auprès </w:t>
      </w:r>
      <w:r w:rsidR="002D04A9" w:rsidRPr="00387FF5">
        <w:t>des autorités administratives internes n</w:t>
      </w:r>
      <w:r w:rsidR="008615F7">
        <w:t>’</w:t>
      </w:r>
      <w:r w:rsidR="00387FF5" w:rsidRPr="00387FF5">
        <w:t>ont</w:t>
      </w:r>
      <w:r w:rsidR="00BA792F">
        <w:t xml:space="preserve"> pas</w:t>
      </w:r>
      <w:r w:rsidR="00387FF5" w:rsidRPr="00387FF5">
        <w:t xml:space="preserve"> </w:t>
      </w:r>
      <w:r w:rsidR="002D04A9" w:rsidRPr="00387FF5">
        <w:t>entra</w:t>
      </w:r>
      <w:r w:rsidR="00F224BC" w:rsidRPr="00387FF5">
        <w:t>î</w:t>
      </w:r>
      <w:r w:rsidR="002D04A9" w:rsidRPr="00387FF5">
        <w:t>n</w:t>
      </w:r>
      <w:r w:rsidR="00387FF5" w:rsidRPr="00387FF5">
        <w:t>é</w:t>
      </w:r>
      <w:r w:rsidR="002D04A9" w:rsidRPr="00387FF5">
        <w:t xml:space="preserve"> </w:t>
      </w:r>
      <w:r w:rsidR="00BA792F">
        <w:t xml:space="preserve">des </w:t>
      </w:r>
      <w:r w:rsidR="002D04A9" w:rsidRPr="00387FF5">
        <w:t>frais. Quant aux frais et honoraires relatifs à la présentation de la requête</w:t>
      </w:r>
      <w:r w:rsidR="00062890" w:rsidRPr="00387FF5">
        <w:t xml:space="preserve"> par l</w:t>
      </w:r>
      <w:r w:rsidR="008615F7">
        <w:t>’</w:t>
      </w:r>
      <w:r w:rsidR="00062890" w:rsidRPr="00387FF5">
        <w:t>équipe juridique d</w:t>
      </w:r>
      <w:r w:rsidR="008615F7">
        <w:t>’</w:t>
      </w:r>
      <w:r w:rsidR="00062890" w:rsidRPr="00387FF5">
        <w:t>une organisation non</w:t>
      </w:r>
      <w:r w:rsidR="00F224BC" w:rsidRPr="00387FF5">
        <w:t xml:space="preserve"> </w:t>
      </w:r>
      <w:r w:rsidR="00062890" w:rsidRPr="00387FF5">
        <w:t xml:space="preserve">gouvernementale </w:t>
      </w:r>
      <w:r w:rsidR="00F224BC" w:rsidRPr="00387FF5">
        <w:t xml:space="preserve">sans but lucratif </w:t>
      </w:r>
      <w:r w:rsidR="00062890" w:rsidRPr="00387FF5">
        <w:t>(telle</w:t>
      </w:r>
      <w:r w:rsidR="00F224BC">
        <w:t xml:space="preserve"> que</w:t>
      </w:r>
      <w:r w:rsidR="00062890">
        <w:t xml:space="preserve"> le Greek Helsinki Monitor)</w:t>
      </w:r>
      <w:r w:rsidR="002D04A9">
        <w:t xml:space="preserve">, </w:t>
      </w:r>
      <w:r w:rsidR="00387FF5">
        <w:t>il ajoute qu</w:t>
      </w:r>
      <w:r w:rsidR="008615F7">
        <w:t>’</w:t>
      </w:r>
      <w:r w:rsidR="002D04A9">
        <w:t xml:space="preserve">ils doivent ressortir de justificatifs équivalents à ceux produits par des avocats </w:t>
      </w:r>
      <w:r w:rsidR="00062890">
        <w:t>qui exercent à titre libéral et établis selon les règles de la fiscalité nationale. Or le document intitulé « Bill of Costs and Expenses »</w:t>
      </w:r>
      <w:r w:rsidR="0088477E">
        <w:t>,</w:t>
      </w:r>
      <w:r w:rsidR="00062890">
        <w:t xml:space="preserve"> rédigé par le représentant des requérants</w:t>
      </w:r>
      <w:r w:rsidR="0088477E">
        <w:t>,</w:t>
      </w:r>
      <w:r w:rsidR="00062890">
        <w:t xml:space="preserve"> ne rempli</w:t>
      </w:r>
      <w:r w:rsidR="00387FF5">
        <w:t>rait</w:t>
      </w:r>
      <w:r w:rsidR="00062890">
        <w:t xml:space="preserve"> pas les conditio</w:t>
      </w:r>
      <w:r w:rsidR="00CD682F">
        <w:t>ns susmentionnées e</w:t>
      </w:r>
      <w:r w:rsidR="00387FF5">
        <w:t>t, en particulier,</w:t>
      </w:r>
      <w:r w:rsidR="00CD682F">
        <w:t xml:space="preserve"> ne constitue</w:t>
      </w:r>
      <w:r w:rsidR="00387FF5">
        <w:t>rait</w:t>
      </w:r>
      <w:r w:rsidR="00CD682F">
        <w:t xml:space="preserve"> pas une facture dûment établie par le service des impôts</w:t>
      </w:r>
      <w:r w:rsidR="00062890">
        <w:t>.</w:t>
      </w:r>
      <w:r w:rsidR="00636D42">
        <w:t xml:space="preserve"> De surcroît, aucune preuve de la nécessité des frais réclamés et de leur caractère raisonnable n</w:t>
      </w:r>
      <w:r w:rsidR="008615F7">
        <w:t>’</w:t>
      </w:r>
      <w:r w:rsidR="00F224BC">
        <w:t>a</w:t>
      </w:r>
      <w:r w:rsidR="00387FF5">
        <w:t>urait</w:t>
      </w:r>
      <w:r w:rsidR="00F224BC">
        <w:t xml:space="preserve"> été</w:t>
      </w:r>
      <w:r w:rsidR="00636D42">
        <w:t xml:space="preserve"> produite.</w:t>
      </w:r>
    </w:p>
    <w:p w:rsidR="006E6094" w:rsidRDefault="00520ECC" w:rsidP="006E6094">
      <w:pPr>
        <w:pStyle w:val="JuPara"/>
      </w:pPr>
      <w:r w:rsidRPr="00520ECC">
        <w:fldChar w:fldCharType="begin"/>
      </w:r>
      <w:r w:rsidRPr="00520ECC">
        <w:instrText xml:space="preserve"> SEQ level0 \*arabic </w:instrText>
      </w:r>
      <w:r w:rsidRPr="00520ECC">
        <w:fldChar w:fldCharType="separate"/>
      </w:r>
      <w:r w:rsidR="00554499">
        <w:rPr>
          <w:noProof/>
        </w:rPr>
        <w:t>85</w:t>
      </w:r>
      <w:r w:rsidRPr="00520ECC">
        <w:fldChar w:fldCharType="end"/>
      </w:r>
      <w:r w:rsidR="00EC6427" w:rsidRPr="00520ECC">
        <w:t>.  </w:t>
      </w:r>
      <w:r w:rsidR="00F224BC">
        <w:t>La Cour rappelle que, s</w:t>
      </w:r>
      <w:r w:rsidRPr="00520ECC">
        <w:t xml:space="preserve">elon </w:t>
      </w:r>
      <w:r w:rsidR="00F224BC">
        <w:t>s</w:t>
      </w:r>
      <w:r w:rsidRPr="00520ECC">
        <w:t>a jurisprudence, un requérant ne peut obtenir le remboursement de ses frais et dépens que dans la mesure où se trouvent établis leur réalité, leur nécessité et le cara</w:t>
      </w:r>
      <w:r w:rsidR="00380372">
        <w:t>ctère raisonnable de leur taux.</w:t>
      </w:r>
      <w:r w:rsidR="00E07784">
        <w:t xml:space="preserve"> </w:t>
      </w:r>
      <w:r w:rsidR="00387FF5">
        <w:t xml:space="preserve">Elle </w:t>
      </w:r>
      <w:r w:rsidR="006E6094">
        <w:t>rappelle</w:t>
      </w:r>
      <w:r w:rsidR="00380372">
        <w:t xml:space="preserve"> en outre</w:t>
      </w:r>
      <w:r w:rsidR="00C82536">
        <w:t xml:space="preserve"> avoir</w:t>
      </w:r>
      <w:r w:rsidR="006E6094">
        <w:t xml:space="preserve"> décidé</w:t>
      </w:r>
      <w:r w:rsidR="00C82536">
        <w:t>,</w:t>
      </w:r>
      <w:r w:rsidR="006E6094">
        <w:t xml:space="preserve"> dans certains cas</w:t>
      </w:r>
      <w:r w:rsidR="00C82536">
        <w:t>,</w:t>
      </w:r>
      <w:r w:rsidR="006E6094">
        <w:t xml:space="preserve"> de verser directement la somme allouée pour frais et dépens sur le compte des représentants des requérants (voir, parmi beaucoup d</w:t>
      </w:r>
      <w:r w:rsidR="008615F7">
        <w:t>’</w:t>
      </w:r>
      <w:r w:rsidR="006E6094">
        <w:t xml:space="preserve">autres, </w:t>
      </w:r>
      <w:r w:rsidR="00380372">
        <w:rPr>
          <w:i/>
        </w:rPr>
        <w:t>Cobzaru c. </w:t>
      </w:r>
      <w:r w:rsidR="006E6094" w:rsidRPr="006E6094">
        <w:rPr>
          <w:i/>
        </w:rPr>
        <w:t>Roumanie</w:t>
      </w:r>
      <w:r w:rsidR="006E6094">
        <w:t>, n</w:t>
      </w:r>
      <w:r w:rsidR="003759D8" w:rsidRPr="003759D8">
        <w:rPr>
          <w:vertAlign w:val="superscript"/>
        </w:rPr>
        <w:t>o</w:t>
      </w:r>
      <w:r w:rsidR="006E6094">
        <w:t xml:space="preserve"> 48254/99, 4 mars 2008 ; </w:t>
      </w:r>
      <w:r w:rsidR="006E6094" w:rsidRPr="006E6094">
        <w:rPr>
          <w:i/>
        </w:rPr>
        <w:t>Stoica c. Roumanie</w:t>
      </w:r>
      <w:r w:rsidR="006E6094">
        <w:t>, n</w:t>
      </w:r>
      <w:r w:rsidR="003759D8" w:rsidRPr="003759D8">
        <w:rPr>
          <w:vertAlign w:val="superscript"/>
        </w:rPr>
        <w:t>o</w:t>
      </w:r>
      <w:r w:rsidR="006E6094">
        <w:t xml:space="preserve"> 42722/02, 16 décembre 2008 ; </w:t>
      </w:r>
      <w:r w:rsidR="006E6094" w:rsidRPr="006E6094">
        <w:rPr>
          <w:i/>
        </w:rPr>
        <w:t>Rupa c. Roumanie</w:t>
      </w:r>
      <w:r w:rsidR="006E6094">
        <w:t>, n</w:t>
      </w:r>
      <w:r w:rsidR="003759D8" w:rsidRPr="003759D8">
        <w:rPr>
          <w:vertAlign w:val="superscript"/>
        </w:rPr>
        <w:t>o</w:t>
      </w:r>
      <w:r w:rsidR="006E6094">
        <w:t xml:space="preserve"> 58478/00, 2 avril 2009 ; </w:t>
      </w:r>
      <w:r w:rsidR="00380372">
        <w:rPr>
          <w:i/>
        </w:rPr>
        <w:t>Georgiev c. </w:t>
      </w:r>
      <w:r w:rsidR="006E6094" w:rsidRPr="006E6094">
        <w:rPr>
          <w:i/>
        </w:rPr>
        <w:t>Bulgarie</w:t>
      </w:r>
      <w:r w:rsidR="006E6094">
        <w:t>, n</w:t>
      </w:r>
      <w:r w:rsidR="003759D8" w:rsidRPr="003759D8">
        <w:rPr>
          <w:vertAlign w:val="superscript"/>
        </w:rPr>
        <w:t>o</w:t>
      </w:r>
      <w:r w:rsidR="006E6094">
        <w:t xml:space="preserve"> 31211/03, 2 avril 2009 ; </w:t>
      </w:r>
      <w:r w:rsidR="006E6094" w:rsidRPr="006E6094">
        <w:rPr>
          <w:i/>
        </w:rPr>
        <w:t>Vihos c. Grèce</w:t>
      </w:r>
      <w:r w:rsidR="00380372">
        <w:t>, n</w:t>
      </w:r>
      <w:r w:rsidR="003759D8" w:rsidRPr="003759D8">
        <w:rPr>
          <w:vertAlign w:val="superscript"/>
        </w:rPr>
        <w:t>o</w:t>
      </w:r>
      <w:r w:rsidR="00380372">
        <w:t> 34692/08, n</w:t>
      </w:r>
      <w:r w:rsidR="003759D8" w:rsidRPr="003759D8">
        <w:rPr>
          <w:vertAlign w:val="superscript"/>
        </w:rPr>
        <w:t>o</w:t>
      </w:r>
      <w:r w:rsidR="00380372">
        <w:t> </w:t>
      </w:r>
      <w:r w:rsidR="006E6094">
        <w:t>34692/08, 10 février 2011</w:t>
      </w:r>
      <w:r w:rsidR="00C82536">
        <w:t>, et</w:t>
      </w:r>
      <w:r w:rsidR="006E6094">
        <w:t xml:space="preserve"> </w:t>
      </w:r>
      <w:r w:rsidR="006E6094" w:rsidRPr="006E6094">
        <w:rPr>
          <w:i/>
        </w:rPr>
        <w:t>Dimitras et autres</w:t>
      </w:r>
      <w:r w:rsidR="00380372">
        <w:rPr>
          <w:i/>
        </w:rPr>
        <w:t xml:space="preserve"> (n</w:t>
      </w:r>
      <w:r w:rsidR="003759D8" w:rsidRPr="003759D8">
        <w:rPr>
          <w:i/>
          <w:vertAlign w:val="superscript"/>
        </w:rPr>
        <w:t>o</w:t>
      </w:r>
      <w:r w:rsidR="00380372">
        <w:rPr>
          <w:i/>
        </w:rPr>
        <w:t> </w:t>
      </w:r>
      <w:r w:rsidR="006E6094" w:rsidRPr="006E6094">
        <w:rPr>
          <w:i/>
        </w:rPr>
        <w:t>2)</w:t>
      </w:r>
      <w:r w:rsidR="006E6094">
        <w:t>,</w:t>
      </w:r>
      <w:r w:rsidR="00DB576D">
        <w:t xml:space="preserve"> précité</w:t>
      </w:r>
      <w:r w:rsidR="006E6094">
        <w:t>).</w:t>
      </w:r>
    </w:p>
    <w:p w:rsidR="00E07784" w:rsidRPr="00520ECC" w:rsidRDefault="00E07784" w:rsidP="006E6094">
      <w:pPr>
        <w:pStyle w:val="JuPara"/>
      </w:pPr>
      <w:r>
        <w:fldChar w:fldCharType="begin"/>
      </w:r>
      <w:r>
        <w:instrText xml:space="preserve"> SEQ level0 \*arabic </w:instrText>
      </w:r>
      <w:r>
        <w:fldChar w:fldCharType="separate"/>
      </w:r>
      <w:r w:rsidR="00554499">
        <w:rPr>
          <w:noProof/>
        </w:rPr>
        <w:t>86</w:t>
      </w:r>
      <w:r>
        <w:fldChar w:fldCharType="end"/>
      </w:r>
      <w:r>
        <w:t>.  </w:t>
      </w:r>
      <w:r w:rsidR="00FA005E">
        <w:t>La Cour considère que l</w:t>
      </w:r>
      <w:r w:rsidR="008615F7">
        <w:t>’</w:t>
      </w:r>
      <w:r w:rsidR="00FA005E">
        <w:t xml:space="preserve">insuffisance des justificatifs </w:t>
      </w:r>
      <w:r w:rsidR="00525A5F">
        <w:t xml:space="preserve">relevée </w:t>
      </w:r>
      <w:r w:rsidR="00FA005E">
        <w:t xml:space="preserve">par le Gouvernement ne peut pas occulter le fait que le Greek Helsinki Monitor </w:t>
      </w:r>
      <w:r w:rsidR="001162DE">
        <w:t>a prêté une assistance juridique</w:t>
      </w:r>
      <w:r w:rsidR="00525A5F">
        <w:t xml:space="preserve"> effective</w:t>
      </w:r>
      <w:r w:rsidR="001162DE">
        <w:t xml:space="preserve"> aux requérants. </w:t>
      </w:r>
      <w:r w:rsidR="00E103C8">
        <w:t>Le fait que M. </w:t>
      </w:r>
      <w:r w:rsidR="00525A5F">
        <w:t>Dim</w:t>
      </w:r>
      <w:r w:rsidR="00305A0A">
        <w:t>i</w:t>
      </w:r>
      <w:r w:rsidR="00525A5F">
        <w:t>tras et ses collaborateurs appartiennent à une organisation non</w:t>
      </w:r>
      <w:r w:rsidR="00C82536">
        <w:t xml:space="preserve"> </w:t>
      </w:r>
      <w:r w:rsidR="00525A5F">
        <w:t>gouvernementale</w:t>
      </w:r>
      <w:r w:rsidR="00213FF5">
        <w:t>,</w:t>
      </w:r>
      <w:r w:rsidR="00525A5F">
        <w:t xml:space="preserve"> </w:t>
      </w:r>
      <w:r w:rsidR="00C82536">
        <w:t>par définition dépourvue de</w:t>
      </w:r>
      <w:r w:rsidR="00525A5F">
        <w:t xml:space="preserve"> but lucratif</w:t>
      </w:r>
      <w:r w:rsidR="00213FF5">
        <w:t>,</w:t>
      </w:r>
      <w:r w:rsidR="00525A5F">
        <w:t xml:space="preserve"> ne signifie pas que </w:t>
      </w:r>
      <w:r w:rsidR="00387FF5">
        <w:t xml:space="preserve">cette organisation doive fournir gratuitement </w:t>
      </w:r>
      <w:r w:rsidR="00525A5F">
        <w:t xml:space="preserve">toute assistance juridique </w:t>
      </w:r>
      <w:r w:rsidR="00213FF5">
        <w:t>qu</w:t>
      </w:r>
      <w:r w:rsidR="008615F7">
        <w:t>’</w:t>
      </w:r>
      <w:r w:rsidR="00387FF5">
        <w:t>elle prête</w:t>
      </w:r>
      <w:r w:rsidR="00213FF5">
        <w:t>.</w:t>
      </w:r>
      <w:r w:rsidR="009A455C">
        <w:t xml:space="preserve"> La Cour a déjà jugé que l</w:t>
      </w:r>
      <w:r w:rsidR="008615F7">
        <w:t>’</w:t>
      </w:r>
      <w:r w:rsidR="009A455C">
        <w:t>on ne pouvait refuser à des avocats travaillant pour de telles organisations une rémunération et qu</w:t>
      </w:r>
      <w:r w:rsidR="008615F7">
        <w:t>’</w:t>
      </w:r>
      <w:r w:rsidR="009A455C">
        <w:t>une ventilation crédible et détaillé</w:t>
      </w:r>
      <w:r w:rsidR="00380408">
        <w:t>e</w:t>
      </w:r>
      <w:r w:rsidR="009A455C">
        <w:t xml:space="preserve"> des heures de travail constituait une preuve acceptable des frais encourus</w:t>
      </w:r>
      <w:r w:rsidR="00E103C8">
        <w:t xml:space="preserve"> (</w:t>
      </w:r>
      <w:r w:rsidR="00E103C8">
        <w:rPr>
          <w:i/>
          <w:lang w:eastAsia="en-US"/>
        </w:rPr>
        <w:t>Klaus et</w:t>
      </w:r>
      <w:r w:rsidR="00E103C8" w:rsidRPr="006247E5">
        <w:rPr>
          <w:i/>
          <w:lang w:eastAsia="en-US"/>
        </w:rPr>
        <w:t xml:space="preserve"> Iouri Kiladze </w:t>
      </w:r>
      <w:r w:rsidR="000F6FD5">
        <w:rPr>
          <w:i/>
          <w:lang w:eastAsia="en-US"/>
        </w:rPr>
        <w:t xml:space="preserve">c. </w:t>
      </w:r>
      <w:r w:rsidR="00E103C8">
        <w:rPr>
          <w:i/>
          <w:lang w:eastAsia="en-US"/>
        </w:rPr>
        <w:t>Géorgie</w:t>
      </w:r>
      <w:r w:rsidR="00E103C8">
        <w:rPr>
          <w:lang w:eastAsia="en-US"/>
        </w:rPr>
        <w:t>, n</w:t>
      </w:r>
      <w:r w:rsidR="003759D8" w:rsidRPr="003759D8">
        <w:rPr>
          <w:vertAlign w:val="superscript"/>
          <w:lang w:eastAsia="en-US"/>
        </w:rPr>
        <w:t>o</w:t>
      </w:r>
      <w:r w:rsidR="00380408">
        <w:rPr>
          <w:lang w:eastAsia="en-US"/>
        </w:rPr>
        <w:t> </w:t>
      </w:r>
      <w:r w:rsidR="00E103C8" w:rsidRPr="006247E5">
        <w:rPr>
          <w:lang w:eastAsia="en-US"/>
        </w:rPr>
        <w:t>7975/06</w:t>
      </w:r>
      <w:r w:rsidR="00E103C8">
        <w:rPr>
          <w:snapToGrid w:val="0"/>
          <w:lang w:eastAsia="en-US"/>
        </w:rPr>
        <w:t>, §§ 91-94, 2 février 2010 ;</w:t>
      </w:r>
      <w:r w:rsidR="00E103C8" w:rsidRPr="006247E5">
        <w:rPr>
          <w:snapToGrid w:val="0"/>
          <w:lang w:eastAsia="en-US"/>
        </w:rPr>
        <w:t xml:space="preserve"> </w:t>
      </w:r>
      <w:r w:rsidR="00E103C8" w:rsidRPr="006247E5">
        <w:rPr>
          <w:i/>
          <w:lang w:eastAsia="en-US"/>
        </w:rPr>
        <w:t xml:space="preserve">Volkova </w:t>
      </w:r>
      <w:r w:rsidR="00E103C8">
        <w:rPr>
          <w:i/>
          <w:lang w:eastAsia="en-US"/>
        </w:rPr>
        <w:t>c</w:t>
      </w:r>
      <w:r w:rsidR="00E103C8" w:rsidRPr="006247E5">
        <w:rPr>
          <w:i/>
          <w:lang w:eastAsia="en-US"/>
        </w:rPr>
        <w:t>.</w:t>
      </w:r>
      <w:r w:rsidR="00E103C8">
        <w:rPr>
          <w:i/>
          <w:lang w:eastAsia="en-US"/>
        </w:rPr>
        <w:t xml:space="preserve"> Russie</w:t>
      </w:r>
      <w:r w:rsidR="00E103C8">
        <w:rPr>
          <w:lang w:eastAsia="en-US"/>
        </w:rPr>
        <w:t>, n</w:t>
      </w:r>
      <w:r w:rsidR="003759D8" w:rsidRPr="003759D8">
        <w:rPr>
          <w:vertAlign w:val="superscript"/>
          <w:lang w:eastAsia="en-US"/>
        </w:rPr>
        <w:t>o</w:t>
      </w:r>
      <w:r w:rsidR="00E103C8">
        <w:rPr>
          <w:lang w:eastAsia="en-US"/>
        </w:rPr>
        <w:t> </w:t>
      </w:r>
      <w:r w:rsidR="00E103C8" w:rsidRPr="006247E5">
        <w:rPr>
          <w:lang w:eastAsia="en-US"/>
        </w:rPr>
        <w:t xml:space="preserve">48758/99, § 46, 5 </w:t>
      </w:r>
      <w:r w:rsidR="00E103C8">
        <w:rPr>
          <w:lang w:eastAsia="en-US"/>
        </w:rPr>
        <w:t>avril 2005 ;</w:t>
      </w:r>
      <w:r w:rsidR="00E103C8" w:rsidRPr="006247E5">
        <w:rPr>
          <w:lang w:eastAsia="en-US"/>
        </w:rPr>
        <w:t xml:space="preserve"> </w:t>
      </w:r>
      <w:r w:rsidR="00E103C8" w:rsidRPr="006247E5">
        <w:rPr>
          <w:i/>
          <w:szCs w:val="24"/>
          <w:lang w:eastAsia="en-US"/>
        </w:rPr>
        <w:t>Fade</w:t>
      </w:r>
      <w:r w:rsidR="00380408">
        <w:rPr>
          <w:i/>
          <w:szCs w:val="24"/>
          <w:lang w:eastAsia="en-US"/>
        </w:rPr>
        <w:t>ï</w:t>
      </w:r>
      <w:r w:rsidR="00E103C8" w:rsidRPr="006247E5">
        <w:rPr>
          <w:i/>
          <w:szCs w:val="24"/>
          <w:lang w:eastAsia="en-US"/>
        </w:rPr>
        <w:t xml:space="preserve">eva </w:t>
      </w:r>
      <w:r w:rsidR="00E103C8">
        <w:rPr>
          <w:i/>
          <w:szCs w:val="24"/>
          <w:lang w:eastAsia="en-US"/>
        </w:rPr>
        <w:t>c</w:t>
      </w:r>
      <w:r w:rsidR="00E103C8" w:rsidRPr="006247E5">
        <w:rPr>
          <w:i/>
          <w:szCs w:val="24"/>
          <w:lang w:eastAsia="en-US"/>
        </w:rPr>
        <w:t>. Russi</w:t>
      </w:r>
      <w:r w:rsidR="00E103C8">
        <w:rPr>
          <w:i/>
          <w:szCs w:val="24"/>
          <w:lang w:eastAsia="en-US"/>
        </w:rPr>
        <w:t>e</w:t>
      </w:r>
      <w:r w:rsidR="00E103C8">
        <w:rPr>
          <w:szCs w:val="24"/>
          <w:lang w:eastAsia="en-US"/>
        </w:rPr>
        <w:t>, n</w:t>
      </w:r>
      <w:r w:rsidR="003759D8" w:rsidRPr="003759D8">
        <w:rPr>
          <w:szCs w:val="24"/>
          <w:vertAlign w:val="superscript"/>
          <w:lang w:eastAsia="en-US"/>
        </w:rPr>
        <w:t>o</w:t>
      </w:r>
      <w:r w:rsidR="00E103C8" w:rsidRPr="006247E5">
        <w:rPr>
          <w:szCs w:val="24"/>
          <w:lang w:eastAsia="en-US"/>
        </w:rPr>
        <w:t xml:space="preserve"> 55723/00, § 149, </w:t>
      </w:r>
      <w:r w:rsidR="00C82536">
        <w:rPr>
          <w:szCs w:val="24"/>
          <w:lang w:eastAsia="en-US"/>
        </w:rPr>
        <w:t>CEDH</w:t>
      </w:r>
      <w:r w:rsidR="00E103C8" w:rsidRPr="006247E5">
        <w:rPr>
          <w:szCs w:val="24"/>
          <w:lang w:eastAsia="en-US"/>
        </w:rPr>
        <w:t xml:space="preserve"> 2005</w:t>
      </w:r>
      <w:r w:rsidR="00E103C8" w:rsidRPr="006247E5">
        <w:rPr>
          <w:szCs w:val="24"/>
          <w:lang w:eastAsia="en-US"/>
        </w:rPr>
        <w:noBreakHyphen/>
        <w:t>IV</w:t>
      </w:r>
      <w:r w:rsidR="00C82536">
        <w:rPr>
          <w:szCs w:val="24"/>
          <w:lang w:eastAsia="en-US"/>
        </w:rPr>
        <w:t>, et</w:t>
      </w:r>
      <w:r w:rsidR="00E103C8">
        <w:rPr>
          <w:szCs w:val="24"/>
          <w:lang w:eastAsia="en-US"/>
        </w:rPr>
        <w:t xml:space="preserve"> </w:t>
      </w:r>
      <w:r w:rsidR="00E103C8" w:rsidRPr="00E103C8">
        <w:rPr>
          <w:i/>
          <w:szCs w:val="24"/>
          <w:lang w:eastAsia="en-US"/>
        </w:rPr>
        <w:t>Tsintsabadze c. Géorgie</w:t>
      </w:r>
      <w:r w:rsidR="00E103C8">
        <w:rPr>
          <w:szCs w:val="24"/>
          <w:lang w:eastAsia="en-US"/>
        </w:rPr>
        <w:t>, n</w:t>
      </w:r>
      <w:r w:rsidR="003759D8" w:rsidRPr="003759D8">
        <w:rPr>
          <w:szCs w:val="24"/>
          <w:vertAlign w:val="superscript"/>
          <w:lang w:eastAsia="en-US"/>
        </w:rPr>
        <w:t>o</w:t>
      </w:r>
      <w:r w:rsidR="00E103C8">
        <w:rPr>
          <w:szCs w:val="24"/>
          <w:lang w:eastAsia="en-US"/>
        </w:rPr>
        <w:t xml:space="preserve"> 35403/06, § 105, 15 février 2011</w:t>
      </w:r>
      <w:r w:rsidR="00E103C8" w:rsidRPr="006247E5">
        <w:rPr>
          <w:szCs w:val="24"/>
          <w:lang w:eastAsia="en-US"/>
        </w:rPr>
        <w:t>).</w:t>
      </w:r>
      <w:r w:rsidR="00E0585F">
        <w:rPr>
          <w:szCs w:val="24"/>
          <w:lang w:eastAsia="en-US"/>
        </w:rPr>
        <w:t xml:space="preserve"> Statuant en équité, la Cour estime raisonnable </w:t>
      </w:r>
      <w:r w:rsidR="00380408">
        <w:rPr>
          <w:szCs w:val="24"/>
          <w:lang w:eastAsia="en-US"/>
        </w:rPr>
        <w:t>en l</w:t>
      </w:r>
      <w:r w:rsidR="008615F7">
        <w:rPr>
          <w:szCs w:val="24"/>
          <w:lang w:eastAsia="en-US"/>
        </w:rPr>
        <w:t>’</w:t>
      </w:r>
      <w:r w:rsidR="00380408">
        <w:rPr>
          <w:szCs w:val="24"/>
          <w:lang w:eastAsia="en-US"/>
        </w:rPr>
        <w:t xml:space="preserve">espèce </w:t>
      </w:r>
      <w:r w:rsidR="00E0585F">
        <w:rPr>
          <w:szCs w:val="24"/>
          <w:lang w:eastAsia="en-US"/>
        </w:rPr>
        <w:t>d</w:t>
      </w:r>
      <w:r w:rsidR="008615F7">
        <w:rPr>
          <w:szCs w:val="24"/>
          <w:lang w:eastAsia="en-US"/>
        </w:rPr>
        <w:t>’</w:t>
      </w:r>
      <w:r w:rsidR="00E0585F">
        <w:rPr>
          <w:szCs w:val="24"/>
          <w:lang w:eastAsia="en-US"/>
        </w:rPr>
        <w:t xml:space="preserve">accorder </w:t>
      </w:r>
      <w:r w:rsidR="0088477E">
        <w:rPr>
          <w:szCs w:val="24"/>
          <w:lang w:eastAsia="en-US"/>
        </w:rPr>
        <w:t>co</w:t>
      </w:r>
      <w:r w:rsidR="00C82536">
        <w:rPr>
          <w:szCs w:val="24"/>
          <w:lang w:eastAsia="en-US"/>
        </w:rPr>
        <w:t xml:space="preserve">njointement </w:t>
      </w:r>
      <w:r w:rsidR="00E0585F">
        <w:rPr>
          <w:szCs w:val="24"/>
          <w:lang w:eastAsia="en-US"/>
        </w:rPr>
        <w:t xml:space="preserve">aux requérants </w:t>
      </w:r>
      <w:r w:rsidR="00380408">
        <w:rPr>
          <w:szCs w:val="24"/>
          <w:lang w:eastAsia="en-US"/>
        </w:rPr>
        <w:t xml:space="preserve">la somme de </w:t>
      </w:r>
      <w:r w:rsidR="00794D50">
        <w:rPr>
          <w:szCs w:val="24"/>
          <w:lang w:eastAsia="en-US"/>
        </w:rPr>
        <w:t>2 0</w:t>
      </w:r>
      <w:r w:rsidR="00E0585F">
        <w:rPr>
          <w:szCs w:val="24"/>
          <w:lang w:eastAsia="en-US"/>
        </w:rPr>
        <w:t>00 EUR, à verser sur le compte bancaire du Greek Helsinki Monitor.</w:t>
      </w:r>
    </w:p>
    <w:p w:rsidR="00EC6427" w:rsidRPr="00520ECC" w:rsidRDefault="00EC6427" w:rsidP="00B33C50">
      <w:pPr>
        <w:pStyle w:val="JuHA"/>
        <w:outlineLvl w:val="0"/>
      </w:pPr>
      <w:r w:rsidRPr="00520ECC">
        <w:t>C.  Intérêts moratoires</w:t>
      </w:r>
    </w:p>
    <w:p w:rsidR="00EC6427" w:rsidRPr="00520ECC" w:rsidRDefault="00520ECC" w:rsidP="00922F45">
      <w:pPr>
        <w:pStyle w:val="JuPara"/>
      </w:pPr>
      <w:r w:rsidRPr="00520ECC">
        <w:fldChar w:fldCharType="begin"/>
      </w:r>
      <w:r w:rsidRPr="00520ECC">
        <w:instrText xml:space="preserve"> SEQ level0 \*arabic </w:instrText>
      </w:r>
      <w:r w:rsidRPr="00520ECC">
        <w:fldChar w:fldCharType="separate"/>
      </w:r>
      <w:r w:rsidR="00554499">
        <w:rPr>
          <w:noProof/>
        </w:rPr>
        <w:t>87</w:t>
      </w:r>
      <w:r w:rsidRPr="00520ECC">
        <w:fldChar w:fldCharType="end"/>
      </w:r>
      <w:r w:rsidR="00EC6427" w:rsidRPr="00520ECC">
        <w:t xml:space="preserve">.  La Cour juge approprié de </w:t>
      </w:r>
      <w:r w:rsidR="0053642D" w:rsidRPr="00520ECC">
        <w:t>calquer</w:t>
      </w:r>
      <w:r w:rsidR="00EC6427" w:rsidRPr="00520ECC">
        <w:t xml:space="preserve"> le taux des intérêts moratoires sur le taux d</w:t>
      </w:r>
      <w:r w:rsidR="008615F7">
        <w:t>’</w:t>
      </w:r>
      <w:r w:rsidR="00EC6427" w:rsidRPr="00520ECC">
        <w:t>intérêt de la facilité de prêt marginal de la Banque centrale européenne majoré de trois points de pourcentage.</w:t>
      </w:r>
    </w:p>
    <w:p w:rsidR="00EC6427" w:rsidRPr="00520ECC" w:rsidRDefault="003759D8" w:rsidP="00B33C50">
      <w:pPr>
        <w:pStyle w:val="JuHHead"/>
      </w:pPr>
      <w:r>
        <w:t>PAR CES MOTIFS, LA COUR</w:t>
      </w:r>
      <w:r w:rsidR="00520ECC" w:rsidRPr="00520ECC">
        <w:t>, À L</w:t>
      </w:r>
      <w:r w:rsidR="008615F7">
        <w:t>’</w:t>
      </w:r>
      <w:r w:rsidR="00520ECC" w:rsidRPr="00520ECC">
        <w:t>UNANIMITÉ,</w:t>
      </w:r>
    </w:p>
    <w:p w:rsidR="00EC6427" w:rsidRPr="00520ECC" w:rsidRDefault="00EC6427" w:rsidP="009E2D52">
      <w:pPr>
        <w:pStyle w:val="JuList"/>
      </w:pPr>
      <w:r w:rsidRPr="00520ECC">
        <w:t>1.  </w:t>
      </w:r>
      <w:r w:rsidRPr="00520ECC">
        <w:rPr>
          <w:i/>
        </w:rPr>
        <w:t>Déclare</w:t>
      </w:r>
      <w:r w:rsidR="00520ECC" w:rsidRPr="00520ECC">
        <w:t xml:space="preserve"> la requête recevable</w:t>
      </w:r>
      <w:r w:rsidRPr="00520ECC">
        <w:t> ;</w:t>
      </w:r>
    </w:p>
    <w:p w:rsidR="00EC6427" w:rsidRPr="00520ECC" w:rsidRDefault="00EC6427">
      <w:pPr>
        <w:pStyle w:val="JuList"/>
      </w:pPr>
    </w:p>
    <w:p w:rsidR="00EC6427" w:rsidRPr="00520ECC" w:rsidRDefault="00987153">
      <w:pPr>
        <w:pStyle w:val="JuList"/>
      </w:pPr>
      <w:r>
        <w:t>2</w:t>
      </w:r>
      <w:r w:rsidR="00E168C6" w:rsidRPr="00520ECC">
        <w:t>.  </w:t>
      </w:r>
      <w:r w:rsidR="00D65AB3" w:rsidRPr="00520ECC">
        <w:rPr>
          <w:i/>
        </w:rPr>
        <w:t>Dit</w:t>
      </w:r>
      <w:r w:rsidR="00D65AB3" w:rsidRPr="00520ECC">
        <w:t xml:space="preserve"> </w:t>
      </w:r>
      <w:r w:rsidR="00EC6427" w:rsidRPr="00520ECC">
        <w:t>qu</w:t>
      </w:r>
      <w:r w:rsidR="008615F7">
        <w:t>’</w:t>
      </w:r>
      <w:r w:rsidR="00EC6427" w:rsidRPr="00520ECC">
        <w:t>il y a eu violation de l</w:t>
      </w:r>
      <w:r w:rsidR="008615F7">
        <w:t>’</w:t>
      </w:r>
      <w:r w:rsidR="00EC6427" w:rsidRPr="00520ECC">
        <w:t xml:space="preserve">article </w:t>
      </w:r>
      <w:r>
        <w:t>14</w:t>
      </w:r>
      <w:r w:rsidR="00EC6427" w:rsidRPr="00520ECC">
        <w:t xml:space="preserve"> de la Convention</w:t>
      </w:r>
      <w:r>
        <w:t xml:space="preserve"> combiné avec l</w:t>
      </w:r>
      <w:r w:rsidR="008615F7">
        <w:t>’</w:t>
      </w:r>
      <w:r>
        <w:t>article 2 du Protocole n</w:t>
      </w:r>
      <w:r w:rsidR="003759D8" w:rsidRPr="003759D8">
        <w:rPr>
          <w:vertAlign w:val="superscript"/>
        </w:rPr>
        <w:t>o</w:t>
      </w:r>
      <w:r>
        <w:t xml:space="preserve"> 1</w:t>
      </w:r>
      <w:r w:rsidR="00C82536">
        <w:t xml:space="preserve"> à la Convention</w:t>
      </w:r>
      <w:r w:rsidR="00EC6427" w:rsidRPr="00520ECC">
        <w:t> ;</w:t>
      </w:r>
    </w:p>
    <w:p w:rsidR="00EC6427" w:rsidRPr="00520ECC" w:rsidRDefault="00EC6427">
      <w:pPr>
        <w:pStyle w:val="JuList"/>
      </w:pPr>
    </w:p>
    <w:p w:rsidR="00EC6427" w:rsidRPr="00520ECC" w:rsidRDefault="00987153">
      <w:pPr>
        <w:pStyle w:val="JuList"/>
      </w:pPr>
      <w:r>
        <w:t>3</w:t>
      </w:r>
      <w:r w:rsidR="00EC6427" w:rsidRPr="00520ECC">
        <w:t>.  </w:t>
      </w:r>
      <w:r w:rsidR="00EC6427" w:rsidRPr="00520ECC">
        <w:rPr>
          <w:i/>
        </w:rPr>
        <w:t>Dit</w:t>
      </w:r>
      <w:r w:rsidR="00EC6427" w:rsidRPr="00520ECC">
        <w:t xml:space="preserve"> qu</w:t>
      </w:r>
      <w:r w:rsidR="008615F7">
        <w:t>’</w:t>
      </w:r>
      <w:r w:rsidR="00EC6427" w:rsidRPr="00520ECC">
        <w:t>il n</w:t>
      </w:r>
      <w:r w:rsidR="008615F7">
        <w:t>’</w:t>
      </w:r>
      <w:r w:rsidR="00EC6427" w:rsidRPr="00520ECC">
        <w:t>y a pas lieu d</w:t>
      </w:r>
      <w:r w:rsidR="008615F7">
        <w:t>’</w:t>
      </w:r>
      <w:r w:rsidR="00EC6427" w:rsidRPr="00520ECC">
        <w:t>examiner le grief tiré de l</w:t>
      </w:r>
      <w:r w:rsidR="008615F7">
        <w:t>’</w:t>
      </w:r>
      <w:r w:rsidR="00EC6427" w:rsidRPr="00520ECC">
        <w:t xml:space="preserve">article </w:t>
      </w:r>
      <w:r>
        <w:t>13</w:t>
      </w:r>
      <w:r w:rsidR="00EC6427" w:rsidRPr="00520ECC">
        <w:t xml:space="preserve"> de la Convention ;</w:t>
      </w:r>
    </w:p>
    <w:p w:rsidR="00EC6427" w:rsidRPr="00520ECC" w:rsidRDefault="00EC6427">
      <w:pPr>
        <w:pStyle w:val="JuList"/>
      </w:pPr>
    </w:p>
    <w:p w:rsidR="000F6FD5" w:rsidRDefault="00987153">
      <w:pPr>
        <w:pStyle w:val="JuList"/>
      </w:pPr>
      <w:r>
        <w:t>4</w:t>
      </w:r>
      <w:r w:rsidR="00EC6427" w:rsidRPr="00520ECC">
        <w:t>.  </w:t>
      </w:r>
      <w:r w:rsidR="00EC6427" w:rsidRPr="00520ECC">
        <w:rPr>
          <w:i/>
        </w:rPr>
        <w:t>Dit</w:t>
      </w:r>
    </w:p>
    <w:p w:rsidR="0029723C" w:rsidRPr="00520ECC" w:rsidRDefault="00EC6427" w:rsidP="009E2D52">
      <w:pPr>
        <w:pStyle w:val="JuLista"/>
      </w:pPr>
      <w:r w:rsidRPr="00520ECC">
        <w:t>a)  que l</w:t>
      </w:r>
      <w:r w:rsidR="008615F7">
        <w:t>’</w:t>
      </w:r>
      <w:r w:rsidRPr="00520ECC">
        <w:t xml:space="preserve">Etat défendeur doit verser </w:t>
      </w:r>
      <w:r w:rsidR="00520ECC" w:rsidRPr="00520ECC">
        <w:t>aux requérants</w:t>
      </w:r>
      <w:smartTag w:uri="urn:schemas-microsoft-com:office:smarttags" w:element="PersonName">
        <w:r w:rsidRPr="00520ECC">
          <w:t>,</w:t>
        </w:r>
      </w:smartTag>
      <w:r w:rsidR="00987153">
        <w:t xml:space="preserve"> dans les trois moi</w:t>
      </w:r>
      <w:r w:rsidR="00FF3457">
        <w:t>s</w:t>
      </w:r>
      <w:r w:rsidR="00987153">
        <w:t xml:space="preserve">, </w:t>
      </w:r>
      <w:r w:rsidR="00520ECC" w:rsidRPr="00520ECC">
        <w:t>à compter du jour où l</w:t>
      </w:r>
      <w:r w:rsidR="008615F7">
        <w:t>’</w:t>
      </w:r>
      <w:r w:rsidR="00520ECC" w:rsidRPr="00520ECC">
        <w:t>arrêt sera devenu définitif conformément à l</w:t>
      </w:r>
      <w:r w:rsidR="008615F7">
        <w:t>’</w:t>
      </w:r>
      <w:r w:rsidR="00520ECC" w:rsidRPr="00520ECC">
        <w:t>article 44 § 2 de la Convention</w:t>
      </w:r>
      <w:r w:rsidR="00987153">
        <w:t>,</w:t>
      </w:r>
      <w:r w:rsidRPr="00520ECC">
        <w:t xml:space="preserve"> </w:t>
      </w:r>
      <w:r w:rsidR="0029723C" w:rsidRPr="00520ECC">
        <w:t>les sommes suivantes</w:t>
      </w:r>
      <w:r w:rsidR="00987153">
        <w:t> :</w:t>
      </w:r>
    </w:p>
    <w:p w:rsidR="0029723C" w:rsidRPr="00520ECC" w:rsidRDefault="0029723C" w:rsidP="00CE3E62">
      <w:pPr>
        <w:pStyle w:val="JuListi"/>
        <w:rPr>
          <w:lang w:eastAsia="en-GB"/>
        </w:rPr>
      </w:pPr>
      <w:r w:rsidRPr="00520ECC">
        <w:rPr>
          <w:lang w:eastAsia="en-GB"/>
        </w:rPr>
        <w:t>i</w:t>
      </w:r>
      <w:r w:rsidR="00C82536">
        <w:rPr>
          <w:lang w:eastAsia="en-GB"/>
        </w:rPr>
        <w:t>.</w:t>
      </w:r>
      <w:r w:rsidRPr="00520ECC">
        <w:rPr>
          <w:lang w:eastAsia="en-GB"/>
        </w:rPr>
        <w:t>  </w:t>
      </w:r>
      <w:r w:rsidR="00987153">
        <w:rPr>
          <w:lang w:eastAsia="en-GB"/>
        </w:rPr>
        <w:t xml:space="preserve">1 000 </w:t>
      </w:r>
      <w:r w:rsidRPr="00520ECC">
        <w:rPr>
          <w:lang w:eastAsia="en-GB"/>
        </w:rPr>
        <w:t>EUR (</w:t>
      </w:r>
      <w:r w:rsidR="00987153">
        <w:rPr>
          <w:lang w:eastAsia="en-GB"/>
        </w:rPr>
        <w:t>mille</w:t>
      </w:r>
      <w:r w:rsidRPr="00520ECC">
        <w:rPr>
          <w:lang w:eastAsia="en-GB"/>
        </w:rPr>
        <w:t xml:space="preserve"> euros), plus tout montant pouvant être dû à titre d</w:t>
      </w:r>
      <w:r w:rsidR="008615F7">
        <w:rPr>
          <w:lang w:eastAsia="en-GB"/>
        </w:rPr>
        <w:t>’</w:t>
      </w:r>
      <w:r w:rsidRPr="00520ECC">
        <w:rPr>
          <w:lang w:eastAsia="en-GB"/>
        </w:rPr>
        <w:t>impôt,</w:t>
      </w:r>
      <w:r w:rsidR="001A0654" w:rsidRPr="001A0654">
        <w:rPr>
          <w:lang w:eastAsia="en-GB"/>
        </w:rPr>
        <w:t xml:space="preserve"> </w:t>
      </w:r>
      <w:r w:rsidR="001A0654">
        <w:rPr>
          <w:lang w:eastAsia="en-GB"/>
        </w:rPr>
        <w:t>à chacune des familles requérantes,</w:t>
      </w:r>
      <w:r w:rsidRPr="00520ECC">
        <w:rPr>
          <w:lang w:eastAsia="en-GB"/>
        </w:rPr>
        <w:t xml:space="preserve"> pour dommage moral</w:t>
      </w:r>
      <w:r w:rsidR="00C82536">
        <w:rPr>
          <w:lang w:eastAsia="en-GB"/>
        </w:rPr>
        <w:t>,</w:t>
      </w:r>
    </w:p>
    <w:p w:rsidR="0029723C" w:rsidRPr="00520ECC" w:rsidRDefault="0029723C" w:rsidP="00CE3E62">
      <w:pPr>
        <w:pStyle w:val="JuListi"/>
        <w:rPr>
          <w:lang w:eastAsia="en-GB"/>
        </w:rPr>
      </w:pPr>
      <w:r w:rsidRPr="00520ECC">
        <w:rPr>
          <w:lang w:eastAsia="en-GB"/>
        </w:rPr>
        <w:t>ii</w:t>
      </w:r>
      <w:r w:rsidR="00C82536">
        <w:rPr>
          <w:lang w:eastAsia="en-GB"/>
        </w:rPr>
        <w:t>.</w:t>
      </w:r>
      <w:r w:rsidRPr="00520ECC">
        <w:rPr>
          <w:lang w:eastAsia="en-GB"/>
        </w:rPr>
        <w:t>  </w:t>
      </w:r>
      <w:r w:rsidR="00794D50">
        <w:rPr>
          <w:lang w:eastAsia="en-GB"/>
        </w:rPr>
        <w:t>2 0</w:t>
      </w:r>
      <w:r w:rsidR="001A0654">
        <w:rPr>
          <w:lang w:eastAsia="en-GB"/>
        </w:rPr>
        <w:t xml:space="preserve">00 </w:t>
      </w:r>
      <w:r w:rsidR="001A2948" w:rsidRPr="00520ECC">
        <w:rPr>
          <w:lang w:eastAsia="en-GB"/>
        </w:rPr>
        <w:t xml:space="preserve">EUR </w:t>
      </w:r>
      <w:r w:rsidRPr="00520ECC">
        <w:rPr>
          <w:lang w:eastAsia="en-GB"/>
        </w:rPr>
        <w:t>(</w:t>
      </w:r>
      <w:r w:rsidR="00987153">
        <w:rPr>
          <w:lang w:eastAsia="en-GB"/>
        </w:rPr>
        <w:t xml:space="preserve">deux mille </w:t>
      </w:r>
      <w:r w:rsidRPr="00520ECC">
        <w:rPr>
          <w:lang w:eastAsia="en-GB"/>
        </w:rPr>
        <w:t>euros), plus tout montant pouvant être dû à titre d</w:t>
      </w:r>
      <w:r w:rsidR="008615F7">
        <w:rPr>
          <w:lang w:eastAsia="en-GB"/>
        </w:rPr>
        <w:t>’</w:t>
      </w:r>
      <w:r w:rsidRPr="00520ECC">
        <w:rPr>
          <w:lang w:eastAsia="en-GB"/>
        </w:rPr>
        <w:t>impôt par le</w:t>
      </w:r>
      <w:r w:rsidR="00987153">
        <w:rPr>
          <w:lang w:eastAsia="en-GB"/>
        </w:rPr>
        <w:t>s</w:t>
      </w:r>
      <w:r w:rsidRPr="00520ECC">
        <w:rPr>
          <w:lang w:eastAsia="en-GB"/>
        </w:rPr>
        <w:t xml:space="preserve"> requérant</w:t>
      </w:r>
      <w:r w:rsidR="00987153">
        <w:rPr>
          <w:lang w:eastAsia="en-GB"/>
        </w:rPr>
        <w:t>s</w:t>
      </w:r>
      <w:r w:rsidRPr="00520ECC">
        <w:rPr>
          <w:lang w:eastAsia="en-GB"/>
        </w:rPr>
        <w:t>, pour frais et dépens</w:t>
      </w:r>
      <w:r w:rsidR="001A0654">
        <w:rPr>
          <w:lang w:eastAsia="en-GB"/>
        </w:rPr>
        <w:t xml:space="preserve">, </w:t>
      </w:r>
      <w:r w:rsidR="001A0654">
        <w:rPr>
          <w:rStyle w:val="sb8d990e2"/>
        </w:rPr>
        <w:t>à verser sur le compte bancaire de leur représentant</w:t>
      </w:r>
      <w:r w:rsidRPr="00520ECC">
        <w:rPr>
          <w:lang w:eastAsia="en-GB"/>
        </w:rPr>
        <w:t> ;</w:t>
      </w:r>
    </w:p>
    <w:p w:rsidR="00EC6427" w:rsidRPr="00520ECC" w:rsidRDefault="00EC6427">
      <w:pPr>
        <w:pStyle w:val="JuLista"/>
      </w:pPr>
      <w:r w:rsidRPr="00520ECC">
        <w:t>b)  qu</w:t>
      </w:r>
      <w:r w:rsidR="008615F7">
        <w:t>’</w:t>
      </w:r>
      <w:r w:rsidRPr="00520ECC">
        <w:t>à compter de l</w:t>
      </w:r>
      <w:r w:rsidR="008615F7">
        <w:t>’</w:t>
      </w:r>
      <w:r w:rsidRPr="00520ECC">
        <w:t>expiration dudit délai et jusqu</w:t>
      </w:r>
      <w:r w:rsidR="008615F7">
        <w:t>’</w:t>
      </w:r>
      <w:r w:rsidRPr="00520ECC">
        <w:t>au versement, ces montan</w:t>
      </w:r>
      <w:r w:rsidR="0029723C" w:rsidRPr="00520ECC">
        <w:t>t</w:t>
      </w:r>
      <w:r w:rsidRPr="00520ECC">
        <w:t>s</w:t>
      </w:r>
      <w:r w:rsidR="0029723C" w:rsidRPr="00520ECC">
        <w:t xml:space="preserve"> ser</w:t>
      </w:r>
      <w:r w:rsidRPr="00520ECC">
        <w:t>ont à majorer d</w:t>
      </w:r>
      <w:r w:rsidR="008615F7">
        <w:t>’</w:t>
      </w:r>
      <w:r w:rsidRPr="00520ECC">
        <w:t>un intérêt simple à un taux égal à celui de la facilité de prêt marginal de la Banque centrale européenne applicable pendant cette période, augmenté de trois points de pourcentage ;</w:t>
      </w:r>
    </w:p>
    <w:p w:rsidR="00EC6427" w:rsidRPr="00520ECC" w:rsidRDefault="00EC6427">
      <w:pPr>
        <w:pStyle w:val="JuLista"/>
      </w:pPr>
    </w:p>
    <w:p w:rsidR="00EC6427" w:rsidRPr="00520ECC" w:rsidRDefault="00987153">
      <w:pPr>
        <w:pStyle w:val="JuList"/>
      </w:pPr>
      <w:r>
        <w:t>5</w:t>
      </w:r>
      <w:r w:rsidR="00EC6427" w:rsidRPr="00520ECC">
        <w:t>.  </w:t>
      </w:r>
      <w:r w:rsidR="00EC6427" w:rsidRPr="00520ECC">
        <w:rPr>
          <w:i/>
        </w:rPr>
        <w:t>Rejette</w:t>
      </w:r>
      <w:r w:rsidR="00EC6427" w:rsidRPr="00520ECC">
        <w:t xml:space="preserve"> la demande de satisfaction équitable pour le surplus.</w:t>
      </w:r>
    </w:p>
    <w:p w:rsidR="00560B55" w:rsidRPr="00520ECC" w:rsidRDefault="00EC6427" w:rsidP="00560B55">
      <w:pPr>
        <w:pStyle w:val="JuParaLast"/>
      </w:pPr>
      <w:r w:rsidRPr="00520ECC">
        <w:t>Fait en françai</w:t>
      </w:r>
      <w:r w:rsidR="00997FAF">
        <w:t xml:space="preserve">s, puis communiqué par écrit le </w:t>
      </w:r>
      <w:r w:rsidR="003759D8">
        <w:t>30 mai 2013</w:t>
      </w:r>
      <w:r w:rsidR="0053642D" w:rsidRPr="00520ECC">
        <w:t>,</w:t>
      </w:r>
      <w:r w:rsidRPr="00520ECC">
        <w:t xml:space="preserve"> en application de l</w:t>
      </w:r>
      <w:r w:rsidR="008615F7">
        <w:t>’</w:t>
      </w:r>
      <w:r w:rsidRPr="00520ECC">
        <w:t>article 77 §§ 2 et 3 du règlement.</w:t>
      </w:r>
    </w:p>
    <w:p w:rsidR="00EC6427" w:rsidRPr="003759D8" w:rsidRDefault="00520ECC" w:rsidP="0009234F">
      <w:pPr>
        <w:pStyle w:val="JuSigned"/>
        <w:keepNext/>
        <w:keepLines/>
      </w:pPr>
      <w:r w:rsidRPr="00520ECC">
        <w:tab/>
      </w:r>
      <w:r w:rsidR="003759D8">
        <w:t>André Wampach</w:t>
      </w:r>
      <w:r w:rsidR="004C7DF5" w:rsidRPr="003759D8">
        <w:tab/>
      </w:r>
      <w:r w:rsidR="00794D50" w:rsidRPr="003759D8">
        <w:rPr>
          <w:szCs w:val="24"/>
        </w:rPr>
        <w:t>Isabelle Berro-Lefèvre</w:t>
      </w:r>
      <w:r w:rsidR="004C7DF5" w:rsidRPr="003759D8">
        <w:br/>
      </w:r>
      <w:r w:rsidR="004C7DF5" w:rsidRPr="003759D8">
        <w:tab/>
      </w:r>
      <w:r w:rsidRPr="003759D8">
        <w:t>Greffier</w:t>
      </w:r>
      <w:r w:rsidR="003759D8">
        <w:t xml:space="preserve"> adjoint</w:t>
      </w:r>
      <w:r w:rsidR="004C7DF5" w:rsidRPr="003759D8">
        <w:tab/>
      </w:r>
      <w:r w:rsidRPr="003759D8">
        <w:t>Présidente</w:t>
      </w:r>
    </w:p>
    <w:p w:rsidR="0040405D" w:rsidRDefault="0040405D" w:rsidP="0040405D">
      <w:pPr>
        <w:pStyle w:val="JuPara"/>
        <w:jc w:val="center"/>
        <w:rPr>
          <w:b/>
          <w:u w:val="single"/>
        </w:rPr>
      </w:pPr>
      <w:r w:rsidRPr="003759D8">
        <w:br w:type="page"/>
      </w:r>
      <w:r w:rsidRPr="0040405D">
        <w:rPr>
          <w:b/>
          <w:u w:val="single"/>
        </w:rPr>
        <w:t>ANNEXE</w:t>
      </w:r>
    </w:p>
    <w:p w:rsidR="0040405D" w:rsidRDefault="0040405D" w:rsidP="0040405D">
      <w:pPr>
        <w:pStyle w:val="JuPara"/>
        <w:jc w:val="center"/>
        <w:rPr>
          <w:b/>
          <w:u w:val="single"/>
        </w:rPr>
      </w:pPr>
    </w:p>
    <w:p w:rsidR="002A6E7A" w:rsidRPr="00850CA6" w:rsidRDefault="002A6E7A" w:rsidP="002A6E7A">
      <w:pPr>
        <w:pStyle w:val="JuPara"/>
        <w:rPr>
          <w:u w:val="single"/>
        </w:rPr>
      </w:pPr>
      <w:r w:rsidRPr="00850CA6">
        <w:rPr>
          <w:u w:val="single"/>
        </w:rPr>
        <w:t>Première famille</w:t>
      </w:r>
    </w:p>
    <w:p w:rsidR="002A6E7A" w:rsidRDefault="002A6E7A" w:rsidP="002A6E7A">
      <w:pPr>
        <w:pStyle w:val="JuPara"/>
      </w:pPr>
      <w:r>
        <w:t>1) Athanasios Lavidas, né le 10 août 1982</w:t>
      </w:r>
    </w:p>
    <w:p w:rsidR="002A6E7A" w:rsidRDefault="002A6E7A" w:rsidP="002A6E7A">
      <w:pPr>
        <w:pStyle w:val="JuPara"/>
      </w:pPr>
      <w:r>
        <w:t>2) Evangelia Lavida, née le 10 mars 2000</w:t>
      </w:r>
    </w:p>
    <w:p w:rsidR="002A6E7A" w:rsidRDefault="002A6E7A" w:rsidP="002A6E7A">
      <w:pPr>
        <w:pStyle w:val="JuPara"/>
      </w:pPr>
      <w:r>
        <w:t>3) Irini Lavida, née le 27 janvier 2004</w:t>
      </w:r>
    </w:p>
    <w:p w:rsidR="002A6E7A" w:rsidRDefault="002A6E7A" w:rsidP="002A6E7A">
      <w:pPr>
        <w:pStyle w:val="JuPara"/>
      </w:pPr>
    </w:p>
    <w:p w:rsidR="002A6E7A" w:rsidRPr="00850CA6" w:rsidRDefault="002A6E7A" w:rsidP="002A6E7A">
      <w:pPr>
        <w:pStyle w:val="JuPara"/>
        <w:rPr>
          <w:u w:val="single"/>
        </w:rPr>
      </w:pPr>
      <w:r w:rsidRPr="00850CA6">
        <w:rPr>
          <w:u w:val="single"/>
        </w:rPr>
        <w:t>Deuxième famille</w:t>
      </w:r>
    </w:p>
    <w:p w:rsidR="002A6E7A" w:rsidRDefault="002A6E7A" w:rsidP="002A6E7A">
      <w:pPr>
        <w:pStyle w:val="JuPara"/>
      </w:pPr>
      <w:r>
        <w:t>4) Evangelos Tsakiris, né le 21 juillet 2003</w:t>
      </w:r>
    </w:p>
    <w:p w:rsidR="002A6E7A" w:rsidRDefault="002A6E7A" w:rsidP="002A6E7A">
      <w:pPr>
        <w:pStyle w:val="JuPara"/>
      </w:pPr>
      <w:r>
        <w:t>5) Panayotis Tsakiris, né le 22 février 1975</w:t>
      </w:r>
    </w:p>
    <w:p w:rsidR="002A6E7A" w:rsidRDefault="002A6E7A" w:rsidP="002A6E7A">
      <w:pPr>
        <w:pStyle w:val="JuPara"/>
      </w:pPr>
    </w:p>
    <w:p w:rsidR="002A6E7A" w:rsidRPr="00850CA6" w:rsidRDefault="002A6E7A" w:rsidP="002A6E7A">
      <w:pPr>
        <w:pStyle w:val="JuPara"/>
        <w:rPr>
          <w:u w:val="single"/>
        </w:rPr>
      </w:pPr>
      <w:r w:rsidRPr="00850CA6">
        <w:rPr>
          <w:u w:val="single"/>
        </w:rPr>
        <w:t>Troisième famille</w:t>
      </w:r>
    </w:p>
    <w:p w:rsidR="002A6E7A" w:rsidRDefault="002A6E7A" w:rsidP="002A6E7A">
      <w:pPr>
        <w:pStyle w:val="JuPara"/>
      </w:pPr>
      <w:r>
        <w:t>6) Georgios Kallioras, né le 1</w:t>
      </w:r>
      <w:r w:rsidRPr="00762717">
        <w:rPr>
          <w:vertAlign w:val="superscript"/>
        </w:rPr>
        <w:t>er</w:t>
      </w:r>
      <w:r>
        <w:t xml:space="preserve"> juillet 2000</w:t>
      </w:r>
    </w:p>
    <w:p w:rsidR="002A6E7A" w:rsidRDefault="002A6E7A" w:rsidP="002A6E7A">
      <w:pPr>
        <w:pStyle w:val="JuPara"/>
      </w:pPr>
      <w:r>
        <w:t>7) Ekaterini Kalliora, née le 12 juillet 2001</w:t>
      </w:r>
    </w:p>
    <w:p w:rsidR="002A6E7A" w:rsidRDefault="002A6E7A" w:rsidP="002A6E7A">
      <w:pPr>
        <w:pStyle w:val="JuPara"/>
      </w:pPr>
      <w:r>
        <w:t>8) Vaïos Kallioras, né le 2 février 1982</w:t>
      </w:r>
    </w:p>
    <w:p w:rsidR="002A6E7A" w:rsidRDefault="002A6E7A" w:rsidP="002A6E7A">
      <w:pPr>
        <w:pStyle w:val="JuPara"/>
      </w:pPr>
    </w:p>
    <w:p w:rsidR="002A6E7A" w:rsidRPr="00850CA6" w:rsidRDefault="002A6E7A" w:rsidP="002A6E7A">
      <w:pPr>
        <w:pStyle w:val="JuPara"/>
        <w:rPr>
          <w:u w:val="single"/>
        </w:rPr>
      </w:pPr>
      <w:r w:rsidRPr="00850CA6">
        <w:rPr>
          <w:u w:val="single"/>
        </w:rPr>
        <w:t>Quatrième famille</w:t>
      </w:r>
    </w:p>
    <w:p w:rsidR="002A6E7A" w:rsidRDefault="002A6E7A" w:rsidP="002A6E7A">
      <w:pPr>
        <w:pStyle w:val="JuPara"/>
      </w:pPr>
      <w:r>
        <w:t>9) Haralambos Kallioras, né le 1</w:t>
      </w:r>
      <w:r w:rsidRPr="00762717">
        <w:rPr>
          <w:vertAlign w:val="superscript"/>
        </w:rPr>
        <w:t>er</w:t>
      </w:r>
      <w:r>
        <w:t xml:space="preserve"> juin 1997</w:t>
      </w:r>
    </w:p>
    <w:p w:rsidR="002A6E7A" w:rsidRDefault="002A6E7A" w:rsidP="002A6E7A">
      <w:pPr>
        <w:pStyle w:val="JuPara"/>
      </w:pPr>
      <w:r>
        <w:t>10) Dimitra Kalliora, née le 7 février 1999</w:t>
      </w:r>
    </w:p>
    <w:p w:rsidR="002A6E7A" w:rsidRDefault="002A6E7A" w:rsidP="002A6E7A">
      <w:pPr>
        <w:pStyle w:val="JuPara"/>
      </w:pPr>
      <w:r>
        <w:t>11) Korina Kalliora, née le 9 septembre 2002</w:t>
      </w:r>
    </w:p>
    <w:p w:rsidR="002A6E7A" w:rsidRDefault="002A6E7A" w:rsidP="002A6E7A">
      <w:pPr>
        <w:pStyle w:val="JuPara"/>
      </w:pPr>
      <w:r>
        <w:t>12) Antonia Sali, née le 27 mars 1980</w:t>
      </w:r>
    </w:p>
    <w:p w:rsidR="002A6E7A" w:rsidRDefault="002A6E7A" w:rsidP="002A6E7A">
      <w:pPr>
        <w:pStyle w:val="JuPara"/>
      </w:pPr>
    </w:p>
    <w:p w:rsidR="002A6E7A" w:rsidRPr="00850CA6" w:rsidRDefault="002A6E7A" w:rsidP="002A6E7A">
      <w:pPr>
        <w:pStyle w:val="JuPara"/>
        <w:rPr>
          <w:u w:val="single"/>
        </w:rPr>
      </w:pPr>
      <w:r w:rsidRPr="00850CA6">
        <w:rPr>
          <w:u w:val="single"/>
        </w:rPr>
        <w:t>Cinquième famille</w:t>
      </w:r>
    </w:p>
    <w:p w:rsidR="002A6E7A" w:rsidRDefault="002A6E7A" w:rsidP="002A6E7A">
      <w:pPr>
        <w:pStyle w:val="JuPara"/>
      </w:pPr>
      <w:r>
        <w:t>13) Vaïa Polyzou, née le 11 octobre 1997</w:t>
      </w:r>
    </w:p>
    <w:p w:rsidR="002A6E7A" w:rsidRDefault="002A6E7A" w:rsidP="002A6E7A">
      <w:pPr>
        <w:pStyle w:val="JuPara"/>
      </w:pPr>
      <w:r>
        <w:t>14) Areti-Niki Bohori, née le 5 mars 2001</w:t>
      </w:r>
    </w:p>
    <w:p w:rsidR="002A6E7A" w:rsidRDefault="002A6E7A" w:rsidP="002A6E7A">
      <w:pPr>
        <w:pStyle w:val="JuPara"/>
      </w:pPr>
      <w:r>
        <w:t>15) Vasilios Bohoris, né le 30 mai 2002</w:t>
      </w:r>
    </w:p>
    <w:p w:rsidR="002A6E7A" w:rsidRDefault="002A6E7A" w:rsidP="002A6E7A">
      <w:pPr>
        <w:pStyle w:val="JuPara"/>
      </w:pPr>
      <w:r>
        <w:t>16) Vaïos Bohoris, né le 26 juillet 2003</w:t>
      </w:r>
    </w:p>
    <w:p w:rsidR="002A6E7A" w:rsidRDefault="002A6E7A" w:rsidP="002A6E7A">
      <w:pPr>
        <w:pStyle w:val="JuPara"/>
      </w:pPr>
      <w:r>
        <w:t>17) Ekaterini Kalliora, née le 9 août 1978</w:t>
      </w:r>
    </w:p>
    <w:p w:rsidR="002A6E7A" w:rsidRDefault="002A6E7A" w:rsidP="002A6E7A">
      <w:pPr>
        <w:pStyle w:val="JuPara"/>
      </w:pPr>
    </w:p>
    <w:p w:rsidR="002A6E7A" w:rsidRPr="00850CA6" w:rsidRDefault="002A6E7A" w:rsidP="002A6E7A">
      <w:pPr>
        <w:pStyle w:val="JuPara"/>
        <w:rPr>
          <w:u w:val="single"/>
        </w:rPr>
      </w:pPr>
      <w:r w:rsidRPr="00850CA6">
        <w:rPr>
          <w:u w:val="single"/>
        </w:rPr>
        <w:t>Sixième famille</w:t>
      </w:r>
    </w:p>
    <w:p w:rsidR="002A6E7A" w:rsidRDefault="002A6E7A" w:rsidP="002A6E7A">
      <w:pPr>
        <w:pStyle w:val="JuPara"/>
      </w:pPr>
      <w:r>
        <w:t>18) Vasiliki-Maria Kalliora, née le 4 mai 2003</w:t>
      </w:r>
    </w:p>
    <w:p w:rsidR="002A6E7A" w:rsidRDefault="002A6E7A" w:rsidP="002A6E7A">
      <w:pPr>
        <w:pStyle w:val="JuPara"/>
      </w:pPr>
      <w:r>
        <w:t>19) Stavros Kallioras, né le 14 septembre 1980</w:t>
      </w:r>
    </w:p>
    <w:p w:rsidR="002A6E7A" w:rsidRDefault="002A6E7A" w:rsidP="002A6E7A">
      <w:pPr>
        <w:pStyle w:val="JuPara"/>
      </w:pPr>
    </w:p>
    <w:p w:rsidR="002A6E7A" w:rsidRPr="00850CA6" w:rsidRDefault="002A6E7A" w:rsidP="002A6E7A">
      <w:pPr>
        <w:pStyle w:val="JuPara"/>
        <w:rPr>
          <w:u w:val="single"/>
        </w:rPr>
      </w:pPr>
      <w:r w:rsidRPr="00850CA6">
        <w:rPr>
          <w:u w:val="single"/>
        </w:rPr>
        <w:t>Septième famille</w:t>
      </w:r>
    </w:p>
    <w:p w:rsidR="002A6E7A" w:rsidRDefault="002A6E7A" w:rsidP="002A6E7A">
      <w:pPr>
        <w:pStyle w:val="JuPara"/>
      </w:pPr>
      <w:r>
        <w:t>20) Sotirios Polyzos, né le 31 août 1999</w:t>
      </w:r>
    </w:p>
    <w:p w:rsidR="002A6E7A" w:rsidRDefault="002A6E7A" w:rsidP="002A6E7A">
      <w:pPr>
        <w:pStyle w:val="JuPara"/>
      </w:pPr>
      <w:r>
        <w:t>21) Athanasios Polyzos, né le 26 octobre 1972</w:t>
      </w:r>
    </w:p>
    <w:p w:rsidR="002A6E7A" w:rsidRDefault="002A6E7A" w:rsidP="002A6E7A">
      <w:pPr>
        <w:pStyle w:val="JuPara"/>
      </w:pPr>
    </w:p>
    <w:p w:rsidR="002A6E7A" w:rsidRPr="00850CA6" w:rsidRDefault="002A6E7A" w:rsidP="002A6E7A">
      <w:pPr>
        <w:pStyle w:val="JuPara"/>
        <w:rPr>
          <w:u w:val="single"/>
        </w:rPr>
      </w:pPr>
      <w:r w:rsidRPr="00850CA6">
        <w:rPr>
          <w:u w:val="single"/>
        </w:rPr>
        <w:t>Huitième famille</w:t>
      </w:r>
    </w:p>
    <w:p w:rsidR="002A6E7A" w:rsidRDefault="002A6E7A" w:rsidP="002A6E7A">
      <w:pPr>
        <w:pStyle w:val="JuPara"/>
      </w:pPr>
      <w:r>
        <w:t>22) Eleni Kalliora, née le 25 octobre 2003</w:t>
      </w:r>
    </w:p>
    <w:p w:rsidR="002A6E7A" w:rsidRDefault="002A6E7A" w:rsidP="002A6E7A">
      <w:pPr>
        <w:pStyle w:val="JuPara"/>
      </w:pPr>
      <w:r>
        <w:t>23) Zoe Kalliora, née le 28 mars 1978</w:t>
      </w:r>
    </w:p>
    <w:p w:rsidR="0040405D" w:rsidRPr="0040405D" w:rsidRDefault="0040405D" w:rsidP="0040405D">
      <w:pPr>
        <w:pStyle w:val="JuPara"/>
        <w:rPr>
          <w:b/>
          <w:u w:val="single"/>
        </w:rPr>
      </w:pPr>
    </w:p>
    <w:sectPr w:rsidR="0040405D" w:rsidRPr="0040405D" w:rsidSect="003759D8">
      <w:headerReference w:type="even" r:id="rId17"/>
      <w:headerReference w:type="default" r:id="rId18"/>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286" w:rsidRDefault="001A6286">
      <w:r>
        <w:separator/>
      </w:r>
    </w:p>
  </w:endnote>
  <w:endnote w:type="continuationSeparator" w:id="0">
    <w:p w:rsidR="001A6286" w:rsidRDefault="001A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D8" w:rsidRDefault="003759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D8" w:rsidRDefault="003759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D8" w:rsidRPr="00150BFA" w:rsidRDefault="00554499" w:rsidP="003759D8">
    <w:pPr>
      <w:jc w:val="center"/>
      <w:rPr>
        <w:sz w:val="4"/>
        <w:szCs w:val="4"/>
      </w:rPr>
    </w:pPr>
    <w:r>
      <w:rPr>
        <w:noProof/>
        <w:sz w:val="4"/>
        <w:szCs w:val="4"/>
        <w:lang w:val="en-US" w:eastAsia="ja-JP"/>
      </w:rPr>
      <w:drawing>
        <wp:inline distT="0" distB="0" distL="0" distR="0">
          <wp:extent cx="683895" cy="417830"/>
          <wp:effectExtent l="0" t="0" r="0" b="1270"/>
          <wp:docPr id="2" name="Picture 2" descr="DocFoot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Foote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417830"/>
                  </a:xfrm>
                  <a:prstGeom prst="rect">
                    <a:avLst/>
                  </a:prstGeom>
                  <a:noFill/>
                  <a:ln>
                    <a:noFill/>
                  </a:ln>
                </pic:spPr>
              </pic:pic>
            </a:graphicData>
          </a:graphic>
        </wp:inline>
      </w:drawing>
    </w:r>
  </w:p>
  <w:p w:rsidR="003759D8" w:rsidRDefault="00375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286" w:rsidRDefault="001A6286">
      <w:r>
        <w:separator/>
      </w:r>
    </w:p>
  </w:footnote>
  <w:footnote w:type="continuationSeparator" w:id="0">
    <w:p w:rsidR="001A6286" w:rsidRDefault="001A6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D8" w:rsidRDefault="003759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D8" w:rsidRPr="003759D8" w:rsidRDefault="003759D8" w:rsidP="003759D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D8" w:rsidRPr="00C00F0F" w:rsidRDefault="00554499">
    <w:pPr>
      <w:pStyle w:val="Header"/>
      <w:jc w:val="center"/>
      <w:rPr>
        <w:sz w:val="4"/>
        <w:szCs w:val="4"/>
      </w:rPr>
    </w:pPr>
    <w:r>
      <w:rPr>
        <w:noProof/>
        <w:sz w:val="4"/>
        <w:szCs w:val="4"/>
        <w:lang w:val="en-US" w:eastAsia="ja-JP"/>
      </w:rPr>
      <w:drawing>
        <wp:inline distT="0" distB="0" distL="0" distR="0">
          <wp:extent cx="4097020" cy="2086610"/>
          <wp:effectExtent l="0" t="0" r="0" b="0"/>
          <wp:docPr id="1" name="Picture 1"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DocHeaderBig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7020" cy="2086610"/>
                  </a:xfrm>
                  <a:prstGeom prst="rect">
                    <a:avLst/>
                  </a:prstGeom>
                  <a:noFill/>
                  <a:ln>
                    <a:noFill/>
                  </a:ln>
                </pic:spPr>
              </pic:pic>
            </a:graphicData>
          </a:graphic>
        </wp:inline>
      </w:drawing>
    </w:r>
  </w:p>
  <w:p w:rsidR="003759D8" w:rsidRDefault="003759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D8" w:rsidRPr="00520ECC" w:rsidRDefault="003759D8">
    <w:pPr>
      <w:pStyle w:val="JuHeader"/>
    </w:pPr>
    <w:r>
      <w:rPr>
        <w:rStyle w:val="PageNumber"/>
        <w:lang w:val="en-US"/>
      </w:rPr>
      <w:fldChar w:fldCharType="begin"/>
    </w:r>
    <w:r w:rsidRPr="00520ECC">
      <w:rPr>
        <w:rStyle w:val="PageNumber"/>
      </w:rPr>
      <w:instrText xml:space="preserve"> PAGE </w:instrText>
    </w:r>
    <w:r>
      <w:rPr>
        <w:rStyle w:val="PageNumber"/>
        <w:lang w:val="en-US"/>
      </w:rPr>
      <w:fldChar w:fldCharType="separate"/>
    </w:r>
    <w:r w:rsidR="00554499">
      <w:rPr>
        <w:rStyle w:val="PageNumber"/>
        <w:noProof/>
      </w:rPr>
      <w:t>20</w:t>
    </w:r>
    <w:r>
      <w:rPr>
        <w:rStyle w:val="PageNumber"/>
        <w:lang w:val="en-US"/>
      </w:rPr>
      <w:fldChar w:fldCharType="end"/>
    </w:r>
    <w:r w:rsidRPr="00520ECC">
      <w:rPr>
        <w:rStyle w:val="PageNumber"/>
      </w:rPr>
      <w:tab/>
    </w:r>
    <w:r>
      <w:rPr>
        <w:noProof/>
      </w:rPr>
      <w:t xml:space="preserve">ARRÊT </w:t>
    </w:r>
    <w:r w:rsidRPr="00520ECC">
      <w:t xml:space="preserve"> LAVIDA ET AUTRES c. GRÈCE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D8" w:rsidRPr="00520ECC" w:rsidRDefault="003759D8">
    <w:pPr>
      <w:pStyle w:val="JuHeader"/>
    </w:pPr>
    <w:r>
      <w:tab/>
    </w:r>
    <w:r>
      <w:rPr>
        <w:noProof/>
      </w:rPr>
      <w:t xml:space="preserve">ARRÊT </w:t>
    </w:r>
    <w:r w:rsidRPr="00520ECC">
      <w:t xml:space="preserve"> LAVIDA ET AUTRES c. GRÈCE</w:t>
    </w:r>
    <w:r w:rsidRPr="00520ECC">
      <w:tab/>
    </w:r>
    <w:r>
      <w:rPr>
        <w:rStyle w:val="PageNumber"/>
        <w:lang w:val="en-US"/>
      </w:rPr>
      <w:fldChar w:fldCharType="begin"/>
    </w:r>
    <w:r w:rsidRPr="00520ECC">
      <w:rPr>
        <w:rStyle w:val="PageNumber"/>
      </w:rPr>
      <w:instrText xml:space="preserve"> PAGE </w:instrText>
    </w:r>
    <w:r>
      <w:rPr>
        <w:rStyle w:val="PageNumber"/>
        <w:lang w:val="en-US"/>
      </w:rPr>
      <w:fldChar w:fldCharType="separate"/>
    </w:r>
    <w:r w:rsidR="00554499">
      <w:rPr>
        <w:rStyle w:val="PageNumber"/>
        <w:noProof/>
      </w:rPr>
      <w:t>20</w:t>
    </w:r>
    <w:r>
      <w:rPr>
        <w:rStyle w:val="PageNumbe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3AEA0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7BBE6CBD"/>
    <w:multiLevelType w:val="hybridMultilevel"/>
    <w:tmpl w:val="5B122094"/>
    <w:lvl w:ilvl="0" w:tplc="4FDAD2AA">
      <w:start w:val="1"/>
      <w:numFmt w:val="decimal"/>
      <w:pStyle w:val="JuAppQuestion"/>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ctiveWritingStyle w:appName="MSWord" w:lang="fr-FR" w:vendorID="9" w:dllVersion="512" w:checkStyle="1"/>
  <w:activeWritingStyle w:appName="MSWord" w:lang="sv-SE" w:vendorID="0" w:dllVersion="512" w:checkStyle="1"/>
  <w:activeWritingStyle w:appName="MSWord" w:lang="pt-PT" w:vendorID="13" w:dllVersion="513" w:checkStyle="1"/>
  <w:activeWritingStyle w:appName="MSWord" w:lang="sv-SE" w:vendorID="666" w:dllVersion="513" w:checkStyle="1"/>
  <w:activeWritingStyle w:appName="MSWord" w:lang="fi-FI" w:vendorID="666"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6"/>
  <w:hyphenationZone w:val="425"/>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520ECC"/>
    <w:rsid w:val="00000A8E"/>
    <w:rsid w:val="00000ECA"/>
    <w:rsid w:val="00001DD2"/>
    <w:rsid w:val="00006607"/>
    <w:rsid w:val="0000732D"/>
    <w:rsid w:val="00010792"/>
    <w:rsid w:val="0001493E"/>
    <w:rsid w:val="00023684"/>
    <w:rsid w:val="00024829"/>
    <w:rsid w:val="0003067A"/>
    <w:rsid w:val="00031889"/>
    <w:rsid w:val="000346B8"/>
    <w:rsid w:val="00034B42"/>
    <w:rsid w:val="000350CA"/>
    <w:rsid w:val="0003532B"/>
    <w:rsid w:val="000372C9"/>
    <w:rsid w:val="0004239F"/>
    <w:rsid w:val="00042DCF"/>
    <w:rsid w:val="00043CCD"/>
    <w:rsid w:val="00044BA1"/>
    <w:rsid w:val="000452C4"/>
    <w:rsid w:val="00050C7B"/>
    <w:rsid w:val="00051C13"/>
    <w:rsid w:val="00055B79"/>
    <w:rsid w:val="000627BB"/>
    <w:rsid w:val="00062890"/>
    <w:rsid w:val="00064100"/>
    <w:rsid w:val="00072E60"/>
    <w:rsid w:val="0007641A"/>
    <w:rsid w:val="00076451"/>
    <w:rsid w:val="00080622"/>
    <w:rsid w:val="00084161"/>
    <w:rsid w:val="00085F92"/>
    <w:rsid w:val="00091FD4"/>
    <w:rsid w:val="0009234F"/>
    <w:rsid w:val="00093432"/>
    <w:rsid w:val="00094644"/>
    <w:rsid w:val="0009497E"/>
    <w:rsid w:val="0009631E"/>
    <w:rsid w:val="0009688D"/>
    <w:rsid w:val="000A1ADF"/>
    <w:rsid w:val="000A3D31"/>
    <w:rsid w:val="000A4F27"/>
    <w:rsid w:val="000B2A6F"/>
    <w:rsid w:val="000B3205"/>
    <w:rsid w:val="000B7194"/>
    <w:rsid w:val="000C5D36"/>
    <w:rsid w:val="000D263B"/>
    <w:rsid w:val="000D3F81"/>
    <w:rsid w:val="000D563C"/>
    <w:rsid w:val="000D6013"/>
    <w:rsid w:val="000D726C"/>
    <w:rsid w:val="000E1B68"/>
    <w:rsid w:val="000E2EE6"/>
    <w:rsid w:val="000E4D02"/>
    <w:rsid w:val="000E71C7"/>
    <w:rsid w:val="000E78C7"/>
    <w:rsid w:val="000F08D4"/>
    <w:rsid w:val="000F3680"/>
    <w:rsid w:val="000F6FD5"/>
    <w:rsid w:val="00105E10"/>
    <w:rsid w:val="00106ED4"/>
    <w:rsid w:val="00107FDB"/>
    <w:rsid w:val="00114680"/>
    <w:rsid w:val="001162DE"/>
    <w:rsid w:val="00121887"/>
    <w:rsid w:val="00122BE3"/>
    <w:rsid w:val="00126687"/>
    <w:rsid w:val="00127E6E"/>
    <w:rsid w:val="00131AF3"/>
    <w:rsid w:val="001325DA"/>
    <w:rsid w:val="001352AA"/>
    <w:rsid w:val="00135BAC"/>
    <w:rsid w:val="001374B8"/>
    <w:rsid w:val="001377EE"/>
    <w:rsid w:val="00142955"/>
    <w:rsid w:val="00142DF7"/>
    <w:rsid w:val="00147398"/>
    <w:rsid w:val="00152218"/>
    <w:rsid w:val="001524AA"/>
    <w:rsid w:val="001542F3"/>
    <w:rsid w:val="001569EB"/>
    <w:rsid w:val="001635E2"/>
    <w:rsid w:val="00172CF0"/>
    <w:rsid w:val="001752B0"/>
    <w:rsid w:val="00180C7C"/>
    <w:rsid w:val="00180FFE"/>
    <w:rsid w:val="00184E3A"/>
    <w:rsid w:val="0018605A"/>
    <w:rsid w:val="00191FF0"/>
    <w:rsid w:val="00192445"/>
    <w:rsid w:val="001969E0"/>
    <w:rsid w:val="00196E64"/>
    <w:rsid w:val="001A044A"/>
    <w:rsid w:val="001A0654"/>
    <w:rsid w:val="001A1237"/>
    <w:rsid w:val="001A15D4"/>
    <w:rsid w:val="001A2948"/>
    <w:rsid w:val="001A2E41"/>
    <w:rsid w:val="001A6286"/>
    <w:rsid w:val="001C78F1"/>
    <w:rsid w:val="001D5883"/>
    <w:rsid w:val="001E57C4"/>
    <w:rsid w:val="001F2BF2"/>
    <w:rsid w:val="001F48D8"/>
    <w:rsid w:val="001F6022"/>
    <w:rsid w:val="001F6681"/>
    <w:rsid w:val="00200CC2"/>
    <w:rsid w:val="00206814"/>
    <w:rsid w:val="00206868"/>
    <w:rsid w:val="00206AB7"/>
    <w:rsid w:val="00207248"/>
    <w:rsid w:val="00211F5F"/>
    <w:rsid w:val="00213FF5"/>
    <w:rsid w:val="002147D2"/>
    <w:rsid w:val="00220C1C"/>
    <w:rsid w:val="00221D16"/>
    <w:rsid w:val="00230282"/>
    <w:rsid w:val="002304D5"/>
    <w:rsid w:val="0023062F"/>
    <w:rsid w:val="00234FE7"/>
    <w:rsid w:val="00236C5E"/>
    <w:rsid w:val="002373FC"/>
    <w:rsid w:val="00247DD7"/>
    <w:rsid w:val="00250A3B"/>
    <w:rsid w:val="002529DB"/>
    <w:rsid w:val="0025389D"/>
    <w:rsid w:val="002542F9"/>
    <w:rsid w:val="002549D6"/>
    <w:rsid w:val="00260D5D"/>
    <w:rsid w:val="00262481"/>
    <w:rsid w:val="00263561"/>
    <w:rsid w:val="00263623"/>
    <w:rsid w:val="0027163F"/>
    <w:rsid w:val="00274199"/>
    <w:rsid w:val="00275892"/>
    <w:rsid w:val="002768C1"/>
    <w:rsid w:val="002821AD"/>
    <w:rsid w:val="00282685"/>
    <w:rsid w:val="00283FD1"/>
    <w:rsid w:val="0028541F"/>
    <w:rsid w:val="00287191"/>
    <w:rsid w:val="002921BB"/>
    <w:rsid w:val="00296720"/>
    <w:rsid w:val="0029723C"/>
    <w:rsid w:val="00297401"/>
    <w:rsid w:val="002A2101"/>
    <w:rsid w:val="002A27EC"/>
    <w:rsid w:val="002A2E00"/>
    <w:rsid w:val="002A4A7B"/>
    <w:rsid w:val="002A4F2E"/>
    <w:rsid w:val="002A4FF5"/>
    <w:rsid w:val="002A6E7A"/>
    <w:rsid w:val="002B015F"/>
    <w:rsid w:val="002B28F2"/>
    <w:rsid w:val="002C45E0"/>
    <w:rsid w:val="002D04A9"/>
    <w:rsid w:val="002D0737"/>
    <w:rsid w:val="002E06C6"/>
    <w:rsid w:val="002F1CE6"/>
    <w:rsid w:val="002F589C"/>
    <w:rsid w:val="002F69AE"/>
    <w:rsid w:val="00302C67"/>
    <w:rsid w:val="00303D16"/>
    <w:rsid w:val="00305449"/>
    <w:rsid w:val="00305A0A"/>
    <w:rsid w:val="00311F93"/>
    <w:rsid w:val="00313B73"/>
    <w:rsid w:val="003226D6"/>
    <w:rsid w:val="00327411"/>
    <w:rsid w:val="003306D4"/>
    <w:rsid w:val="00335173"/>
    <w:rsid w:val="0033610E"/>
    <w:rsid w:val="003407D0"/>
    <w:rsid w:val="00341552"/>
    <w:rsid w:val="00341BB6"/>
    <w:rsid w:val="00346050"/>
    <w:rsid w:val="003503B2"/>
    <w:rsid w:val="00350960"/>
    <w:rsid w:val="00351B8A"/>
    <w:rsid w:val="00353314"/>
    <w:rsid w:val="00354088"/>
    <w:rsid w:val="00360C14"/>
    <w:rsid w:val="00360E59"/>
    <w:rsid w:val="00361E13"/>
    <w:rsid w:val="00362D1F"/>
    <w:rsid w:val="00370701"/>
    <w:rsid w:val="003707FD"/>
    <w:rsid w:val="00371925"/>
    <w:rsid w:val="00375986"/>
    <w:rsid w:val="003759D8"/>
    <w:rsid w:val="00375ABD"/>
    <w:rsid w:val="00380372"/>
    <w:rsid w:val="00380408"/>
    <w:rsid w:val="00381E02"/>
    <w:rsid w:val="00382031"/>
    <w:rsid w:val="00382130"/>
    <w:rsid w:val="003835A5"/>
    <w:rsid w:val="00383CB7"/>
    <w:rsid w:val="00386B91"/>
    <w:rsid w:val="0038749C"/>
    <w:rsid w:val="00387F24"/>
    <w:rsid w:val="00387FF5"/>
    <w:rsid w:val="00391CA9"/>
    <w:rsid w:val="003925CE"/>
    <w:rsid w:val="00392AB2"/>
    <w:rsid w:val="003A0756"/>
    <w:rsid w:val="003A09B2"/>
    <w:rsid w:val="003A1510"/>
    <w:rsid w:val="003A2004"/>
    <w:rsid w:val="003A2087"/>
    <w:rsid w:val="003B049E"/>
    <w:rsid w:val="003B0567"/>
    <w:rsid w:val="003B0979"/>
    <w:rsid w:val="003B2ECF"/>
    <w:rsid w:val="003B61BC"/>
    <w:rsid w:val="003B6855"/>
    <w:rsid w:val="003C1570"/>
    <w:rsid w:val="003C3E20"/>
    <w:rsid w:val="003D2870"/>
    <w:rsid w:val="003D4EC8"/>
    <w:rsid w:val="003E2D42"/>
    <w:rsid w:val="003E3957"/>
    <w:rsid w:val="003E78B3"/>
    <w:rsid w:val="003F64A3"/>
    <w:rsid w:val="004001B6"/>
    <w:rsid w:val="0040106E"/>
    <w:rsid w:val="0040252B"/>
    <w:rsid w:val="0040286C"/>
    <w:rsid w:val="00402F19"/>
    <w:rsid w:val="004033FE"/>
    <w:rsid w:val="00403ABE"/>
    <w:rsid w:val="0040405D"/>
    <w:rsid w:val="0040406E"/>
    <w:rsid w:val="00404775"/>
    <w:rsid w:val="00406B55"/>
    <w:rsid w:val="004079E9"/>
    <w:rsid w:val="004106E8"/>
    <w:rsid w:val="00411421"/>
    <w:rsid w:val="004123B8"/>
    <w:rsid w:val="0041501C"/>
    <w:rsid w:val="00416D48"/>
    <w:rsid w:val="004219F0"/>
    <w:rsid w:val="00423D5E"/>
    <w:rsid w:val="004254D5"/>
    <w:rsid w:val="00425BF9"/>
    <w:rsid w:val="0043151B"/>
    <w:rsid w:val="00440704"/>
    <w:rsid w:val="004422F0"/>
    <w:rsid w:val="00442FA9"/>
    <w:rsid w:val="0044455C"/>
    <w:rsid w:val="00445458"/>
    <w:rsid w:val="00445E54"/>
    <w:rsid w:val="004542B7"/>
    <w:rsid w:val="004563AF"/>
    <w:rsid w:val="00457836"/>
    <w:rsid w:val="00461183"/>
    <w:rsid w:val="004653D9"/>
    <w:rsid w:val="0046778E"/>
    <w:rsid w:val="004702BA"/>
    <w:rsid w:val="004734A5"/>
    <w:rsid w:val="004736D2"/>
    <w:rsid w:val="00473FA2"/>
    <w:rsid w:val="0047522D"/>
    <w:rsid w:val="00475AE5"/>
    <w:rsid w:val="0047773B"/>
    <w:rsid w:val="00484FCF"/>
    <w:rsid w:val="00486CD2"/>
    <w:rsid w:val="004930AD"/>
    <w:rsid w:val="004932DA"/>
    <w:rsid w:val="00493FA3"/>
    <w:rsid w:val="00495062"/>
    <w:rsid w:val="004A01A3"/>
    <w:rsid w:val="004A0F1E"/>
    <w:rsid w:val="004A1ACE"/>
    <w:rsid w:val="004A437E"/>
    <w:rsid w:val="004B1AB1"/>
    <w:rsid w:val="004C5581"/>
    <w:rsid w:val="004C61A7"/>
    <w:rsid w:val="004C691A"/>
    <w:rsid w:val="004C733F"/>
    <w:rsid w:val="004C7DF5"/>
    <w:rsid w:val="004E19E3"/>
    <w:rsid w:val="004E3393"/>
    <w:rsid w:val="004E5C9C"/>
    <w:rsid w:val="004E63CA"/>
    <w:rsid w:val="004F1323"/>
    <w:rsid w:val="004F1EDE"/>
    <w:rsid w:val="004F2349"/>
    <w:rsid w:val="004F3E2F"/>
    <w:rsid w:val="004F4201"/>
    <w:rsid w:val="004F68A7"/>
    <w:rsid w:val="005114F5"/>
    <w:rsid w:val="005118E7"/>
    <w:rsid w:val="00512B4E"/>
    <w:rsid w:val="00515D0F"/>
    <w:rsid w:val="005178B5"/>
    <w:rsid w:val="00520ECC"/>
    <w:rsid w:val="00525A5F"/>
    <w:rsid w:val="0052605E"/>
    <w:rsid w:val="0053059D"/>
    <w:rsid w:val="005319B5"/>
    <w:rsid w:val="00531D3E"/>
    <w:rsid w:val="00532A53"/>
    <w:rsid w:val="00533021"/>
    <w:rsid w:val="0053642D"/>
    <w:rsid w:val="005445AA"/>
    <w:rsid w:val="00547237"/>
    <w:rsid w:val="00554499"/>
    <w:rsid w:val="005563FD"/>
    <w:rsid w:val="00560B55"/>
    <w:rsid w:val="0056128C"/>
    <w:rsid w:val="00561AFB"/>
    <w:rsid w:val="0056350C"/>
    <w:rsid w:val="00564B20"/>
    <w:rsid w:val="0057103A"/>
    <w:rsid w:val="005737E4"/>
    <w:rsid w:val="005740C2"/>
    <w:rsid w:val="005778AC"/>
    <w:rsid w:val="005801E1"/>
    <w:rsid w:val="005A2B4F"/>
    <w:rsid w:val="005A2FEB"/>
    <w:rsid w:val="005A3633"/>
    <w:rsid w:val="005A4C34"/>
    <w:rsid w:val="005A5226"/>
    <w:rsid w:val="005B50B3"/>
    <w:rsid w:val="005B51DE"/>
    <w:rsid w:val="005B7AAF"/>
    <w:rsid w:val="005C59BD"/>
    <w:rsid w:val="005D4A19"/>
    <w:rsid w:val="005E1B0C"/>
    <w:rsid w:val="005E423A"/>
    <w:rsid w:val="005E53E5"/>
    <w:rsid w:val="005E62D3"/>
    <w:rsid w:val="005E728F"/>
    <w:rsid w:val="005E7568"/>
    <w:rsid w:val="005E79EB"/>
    <w:rsid w:val="005F12CA"/>
    <w:rsid w:val="005F43E1"/>
    <w:rsid w:val="005F496D"/>
    <w:rsid w:val="00602871"/>
    <w:rsid w:val="00607715"/>
    <w:rsid w:val="0061049D"/>
    <w:rsid w:val="00610FE8"/>
    <w:rsid w:val="0061163C"/>
    <w:rsid w:val="00612896"/>
    <w:rsid w:val="006152CF"/>
    <w:rsid w:val="00620817"/>
    <w:rsid w:val="006208CF"/>
    <w:rsid w:val="006246E8"/>
    <w:rsid w:val="00626255"/>
    <w:rsid w:val="00636D42"/>
    <w:rsid w:val="0064438C"/>
    <w:rsid w:val="006563EA"/>
    <w:rsid w:val="00661CDA"/>
    <w:rsid w:val="00662B64"/>
    <w:rsid w:val="006716C1"/>
    <w:rsid w:val="0067270E"/>
    <w:rsid w:val="0068104D"/>
    <w:rsid w:val="00681AD6"/>
    <w:rsid w:val="00691CC7"/>
    <w:rsid w:val="006920DB"/>
    <w:rsid w:val="00693A1D"/>
    <w:rsid w:val="00694356"/>
    <w:rsid w:val="0069719D"/>
    <w:rsid w:val="006A05A8"/>
    <w:rsid w:val="006A0F1E"/>
    <w:rsid w:val="006A1ADE"/>
    <w:rsid w:val="006A1F0E"/>
    <w:rsid w:val="006A35A8"/>
    <w:rsid w:val="006A5686"/>
    <w:rsid w:val="006B1877"/>
    <w:rsid w:val="006B1C83"/>
    <w:rsid w:val="006B3663"/>
    <w:rsid w:val="006C5DB1"/>
    <w:rsid w:val="006D3968"/>
    <w:rsid w:val="006D68DC"/>
    <w:rsid w:val="006E10B7"/>
    <w:rsid w:val="006E30BD"/>
    <w:rsid w:val="006E3C39"/>
    <w:rsid w:val="006E6094"/>
    <w:rsid w:val="006F005A"/>
    <w:rsid w:val="006F04E0"/>
    <w:rsid w:val="00701183"/>
    <w:rsid w:val="00701E62"/>
    <w:rsid w:val="007028E0"/>
    <w:rsid w:val="00710681"/>
    <w:rsid w:val="00722806"/>
    <w:rsid w:val="00725812"/>
    <w:rsid w:val="00726CEC"/>
    <w:rsid w:val="0073020F"/>
    <w:rsid w:val="00730296"/>
    <w:rsid w:val="0073185F"/>
    <w:rsid w:val="007357D0"/>
    <w:rsid w:val="0073679C"/>
    <w:rsid w:val="007506FE"/>
    <w:rsid w:val="00752D87"/>
    <w:rsid w:val="00753746"/>
    <w:rsid w:val="00755392"/>
    <w:rsid w:val="007601C1"/>
    <w:rsid w:val="00761872"/>
    <w:rsid w:val="007660A1"/>
    <w:rsid w:val="0077053B"/>
    <w:rsid w:val="0077322C"/>
    <w:rsid w:val="0077792A"/>
    <w:rsid w:val="00780F3B"/>
    <w:rsid w:val="00781B87"/>
    <w:rsid w:val="00787155"/>
    <w:rsid w:val="00790C2C"/>
    <w:rsid w:val="00794D50"/>
    <w:rsid w:val="00795176"/>
    <w:rsid w:val="007A087B"/>
    <w:rsid w:val="007A089E"/>
    <w:rsid w:val="007A1711"/>
    <w:rsid w:val="007A181F"/>
    <w:rsid w:val="007A2000"/>
    <w:rsid w:val="007A52A8"/>
    <w:rsid w:val="007B0925"/>
    <w:rsid w:val="007B1077"/>
    <w:rsid w:val="007C1EF3"/>
    <w:rsid w:val="007C3205"/>
    <w:rsid w:val="007D074E"/>
    <w:rsid w:val="007D33A7"/>
    <w:rsid w:val="007D5A77"/>
    <w:rsid w:val="007D7F7A"/>
    <w:rsid w:val="007E1D11"/>
    <w:rsid w:val="007E3337"/>
    <w:rsid w:val="007E34C8"/>
    <w:rsid w:val="007E4F22"/>
    <w:rsid w:val="007F6A42"/>
    <w:rsid w:val="007F7B6A"/>
    <w:rsid w:val="0080033A"/>
    <w:rsid w:val="00803644"/>
    <w:rsid w:val="00805D23"/>
    <w:rsid w:val="00807582"/>
    <w:rsid w:val="0080786B"/>
    <w:rsid w:val="00810868"/>
    <w:rsid w:val="00810883"/>
    <w:rsid w:val="008229B2"/>
    <w:rsid w:val="00825A45"/>
    <w:rsid w:val="00830036"/>
    <w:rsid w:val="00841BFC"/>
    <w:rsid w:val="00842BFF"/>
    <w:rsid w:val="00842DBA"/>
    <w:rsid w:val="00844926"/>
    <w:rsid w:val="0084755E"/>
    <w:rsid w:val="00850C21"/>
    <w:rsid w:val="008515CD"/>
    <w:rsid w:val="008534D7"/>
    <w:rsid w:val="008543C6"/>
    <w:rsid w:val="00855368"/>
    <w:rsid w:val="008615F7"/>
    <w:rsid w:val="0086264F"/>
    <w:rsid w:val="00865E36"/>
    <w:rsid w:val="00866D4A"/>
    <w:rsid w:val="00867E82"/>
    <w:rsid w:val="00883E5C"/>
    <w:rsid w:val="0088477E"/>
    <w:rsid w:val="008850BE"/>
    <w:rsid w:val="0088729A"/>
    <w:rsid w:val="00896CD9"/>
    <w:rsid w:val="008A0122"/>
    <w:rsid w:val="008A2782"/>
    <w:rsid w:val="008A6BAC"/>
    <w:rsid w:val="008A6E66"/>
    <w:rsid w:val="008A778C"/>
    <w:rsid w:val="008B458A"/>
    <w:rsid w:val="008B519D"/>
    <w:rsid w:val="008C6E3C"/>
    <w:rsid w:val="008C7FEF"/>
    <w:rsid w:val="008D056C"/>
    <w:rsid w:val="008D0649"/>
    <w:rsid w:val="008D1CBA"/>
    <w:rsid w:val="008D61D1"/>
    <w:rsid w:val="008D791E"/>
    <w:rsid w:val="008F059F"/>
    <w:rsid w:val="008F13B2"/>
    <w:rsid w:val="008F1891"/>
    <w:rsid w:val="008F1D67"/>
    <w:rsid w:val="008F2299"/>
    <w:rsid w:val="008F39FB"/>
    <w:rsid w:val="008F7771"/>
    <w:rsid w:val="0090220E"/>
    <w:rsid w:val="009045F0"/>
    <w:rsid w:val="00904F8D"/>
    <w:rsid w:val="00911A6B"/>
    <w:rsid w:val="00911EB2"/>
    <w:rsid w:val="009134FC"/>
    <w:rsid w:val="00916AED"/>
    <w:rsid w:val="0092156A"/>
    <w:rsid w:val="00921AD8"/>
    <w:rsid w:val="00922F45"/>
    <w:rsid w:val="00923A21"/>
    <w:rsid w:val="00924563"/>
    <w:rsid w:val="009260DF"/>
    <w:rsid w:val="00933E4B"/>
    <w:rsid w:val="00934C51"/>
    <w:rsid w:val="00934E38"/>
    <w:rsid w:val="00936877"/>
    <w:rsid w:val="00937B1A"/>
    <w:rsid w:val="00942EF5"/>
    <w:rsid w:val="0095388F"/>
    <w:rsid w:val="00956C5C"/>
    <w:rsid w:val="009623B3"/>
    <w:rsid w:val="00963BC8"/>
    <w:rsid w:val="00964AC4"/>
    <w:rsid w:val="00973951"/>
    <w:rsid w:val="009739BF"/>
    <w:rsid w:val="00973C75"/>
    <w:rsid w:val="00976B3D"/>
    <w:rsid w:val="00980BEB"/>
    <w:rsid w:val="00980D8E"/>
    <w:rsid w:val="00981F73"/>
    <w:rsid w:val="00985135"/>
    <w:rsid w:val="00986B83"/>
    <w:rsid w:val="00987153"/>
    <w:rsid w:val="00991EBF"/>
    <w:rsid w:val="00992852"/>
    <w:rsid w:val="00995968"/>
    <w:rsid w:val="00997FAF"/>
    <w:rsid w:val="009A0361"/>
    <w:rsid w:val="009A0A09"/>
    <w:rsid w:val="009A455C"/>
    <w:rsid w:val="009B4E3B"/>
    <w:rsid w:val="009B5EC7"/>
    <w:rsid w:val="009B6CB4"/>
    <w:rsid w:val="009C0666"/>
    <w:rsid w:val="009C1366"/>
    <w:rsid w:val="009C2487"/>
    <w:rsid w:val="009C399D"/>
    <w:rsid w:val="009C4573"/>
    <w:rsid w:val="009C634E"/>
    <w:rsid w:val="009C6A5E"/>
    <w:rsid w:val="009D18D3"/>
    <w:rsid w:val="009D29DE"/>
    <w:rsid w:val="009E2D52"/>
    <w:rsid w:val="009E6003"/>
    <w:rsid w:val="009F03E7"/>
    <w:rsid w:val="009F40C6"/>
    <w:rsid w:val="009F7286"/>
    <w:rsid w:val="00A1080F"/>
    <w:rsid w:val="00A12472"/>
    <w:rsid w:val="00A1627A"/>
    <w:rsid w:val="00A211C8"/>
    <w:rsid w:val="00A254FD"/>
    <w:rsid w:val="00A304F5"/>
    <w:rsid w:val="00A3364A"/>
    <w:rsid w:val="00A37DAB"/>
    <w:rsid w:val="00A41FD5"/>
    <w:rsid w:val="00A458D8"/>
    <w:rsid w:val="00A45F8E"/>
    <w:rsid w:val="00A46BA1"/>
    <w:rsid w:val="00A512CC"/>
    <w:rsid w:val="00A52634"/>
    <w:rsid w:val="00A53F42"/>
    <w:rsid w:val="00A554A0"/>
    <w:rsid w:val="00A56E0A"/>
    <w:rsid w:val="00A71BCF"/>
    <w:rsid w:val="00A72CE4"/>
    <w:rsid w:val="00A75FBA"/>
    <w:rsid w:val="00A76B22"/>
    <w:rsid w:val="00A76F8B"/>
    <w:rsid w:val="00A77361"/>
    <w:rsid w:val="00A77DDC"/>
    <w:rsid w:val="00A82E6D"/>
    <w:rsid w:val="00A85E2F"/>
    <w:rsid w:val="00A91B4D"/>
    <w:rsid w:val="00A92374"/>
    <w:rsid w:val="00A92E1F"/>
    <w:rsid w:val="00A93D51"/>
    <w:rsid w:val="00A94F34"/>
    <w:rsid w:val="00A96DB0"/>
    <w:rsid w:val="00A97C83"/>
    <w:rsid w:val="00AC12FE"/>
    <w:rsid w:val="00AC15ED"/>
    <w:rsid w:val="00AC41B1"/>
    <w:rsid w:val="00AC427A"/>
    <w:rsid w:val="00AC5425"/>
    <w:rsid w:val="00AC60DB"/>
    <w:rsid w:val="00AC6A5F"/>
    <w:rsid w:val="00AC76D5"/>
    <w:rsid w:val="00AD1B1F"/>
    <w:rsid w:val="00AD1E8E"/>
    <w:rsid w:val="00AD3301"/>
    <w:rsid w:val="00AD340B"/>
    <w:rsid w:val="00AD5719"/>
    <w:rsid w:val="00AD708C"/>
    <w:rsid w:val="00AD71DC"/>
    <w:rsid w:val="00AE6D83"/>
    <w:rsid w:val="00AF06F1"/>
    <w:rsid w:val="00AF4C02"/>
    <w:rsid w:val="00B005BC"/>
    <w:rsid w:val="00B04694"/>
    <w:rsid w:val="00B0698E"/>
    <w:rsid w:val="00B119F2"/>
    <w:rsid w:val="00B17F2F"/>
    <w:rsid w:val="00B20588"/>
    <w:rsid w:val="00B3193E"/>
    <w:rsid w:val="00B33C50"/>
    <w:rsid w:val="00B35417"/>
    <w:rsid w:val="00B35A00"/>
    <w:rsid w:val="00B46914"/>
    <w:rsid w:val="00B47FDF"/>
    <w:rsid w:val="00B51021"/>
    <w:rsid w:val="00B62D7C"/>
    <w:rsid w:val="00B65132"/>
    <w:rsid w:val="00B66476"/>
    <w:rsid w:val="00B732B3"/>
    <w:rsid w:val="00B74ED4"/>
    <w:rsid w:val="00B7677C"/>
    <w:rsid w:val="00B81114"/>
    <w:rsid w:val="00B9198F"/>
    <w:rsid w:val="00B973B8"/>
    <w:rsid w:val="00B97E47"/>
    <w:rsid w:val="00BA501D"/>
    <w:rsid w:val="00BA792F"/>
    <w:rsid w:val="00BB0D6D"/>
    <w:rsid w:val="00BB1EE4"/>
    <w:rsid w:val="00BB20F6"/>
    <w:rsid w:val="00BB282B"/>
    <w:rsid w:val="00BB65CE"/>
    <w:rsid w:val="00BC23D5"/>
    <w:rsid w:val="00BC2AB9"/>
    <w:rsid w:val="00BC376C"/>
    <w:rsid w:val="00BC6021"/>
    <w:rsid w:val="00BC6624"/>
    <w:rsid w:val="00BC6A1A"/>
    <w:rsid w:val="00BD108E"/>
    <w:rsid w:val="00BD4DA4"/>
    <w:rsid w:val="00BD670D"/>
    <w:rsid w:val="00BD6DB6"/>
    <w:rsid w:val="00BE1D6E"/>
    <w:rsid w:val="00BE339D"/>
    <w:rsid w:val="00BE3C64"/>
    <w:rsid w:val="00C02217"/>
    <w:rsid w:val="00C053FD"/>
    <w:rsid w:val="00C07F44"/>
    <w:rsid w:val="00C100F9"/>
    <w:rsid w:val="00C1094B"/>
    <w:rsid w:val="00C12672"/>
    <w:rsid w:val="00C128FD"/>
    <w:rsid w:val="00C12EE4"/>
    <w:rsid w:val="00C147C9"/>
    <w:rsid w:val="00C27BF2"/>
    <w:rsid w:val="00C362C4"/>
    <w:rsid w:val="00C36C7A"/>
    <w:rsid w:val="00C36FE1"/>
    <w:rsid w:val="00C4050E"/>
    <w:rsid w:val="00C4639C"/>
    <w:rsid w:val="00C51FAF"/>
    <w:rsid w:val="00C5276B"/>
    <w:rsid w:val="00C52E09"/>
    <w:rsid w:val="00C54BBD"/>
    <w:rsid w:val="00C552FE"/>
    <w:rsid w:val="00C553AF"/>
    <w:rsid w:val="00C56B5A"/>
    <w:rsid w:val="00C56C12"/>
    <w:rsid w:val="00C62874"/>
    <w:rsid w:val="00C633F8"/>
    <w:rsid w:val="00C65AF6"/>
    <w:rsid w:val="00C74623"/>
    <w:rsid w:val="00C82536"/>
    <w:rsid w:val="00C8522F"/>
    <w:rsid w:val="00C92314"/>
    <w:rsid w:val="00C93D95"/>
    <w:rsid w:val="00C9635F"/>
    <w:rsid w:val="00C975F3"/>
    <w:rsid w:val="00CA1F58"/>
    <w:rsid w:val="00CA2698"/>
    <w:rsid w:val="00CA6977"/>
    <w:rsid w:val="00CB241F"/>
    <w:rsid w:val="00CB4956"/>
    <w:rsid w:val="00CB7DFD"/>
    <w:rsid w:val="00CC41EC"/>
    <w:rsid w:val="00CC5C53"/>
    <w:rsid w:val="00CC6B2F"/>
    <w:rsid w:val="00CD682F"/>
    <w:rsid w:val="00CE025A"/>
    <w:rsid w:val="00CE3B45"/>
    <w:rsid w:val="00CE3E62"/>
    <w:rsid w:val="00CE6AED"/>
    <w:rsid w:val="00CF0511"/>
    <w:rsid w:val="00CF074E"/>
    <w:rsid w:val="00CF7804"/>
    <w:rsid w:val="00D01290"/>
    <w:rsid w:val="00D028C5"/>
    <w:rsid w:val="00D052B8"/>
    <w:rsid w:val="00D05789"/>
    <w:rsid w:val="00D14E69"/>
    <w:rsid w:val="00D2173F"/>
    <w:rsid w:val="00D229F5"/>
    <w:rsid w:val="00D31210"/>
    <w:rsid w:val="00D33176"/>
    <w:rsid w:val="00D3370A"/>
    <w:rsid w:val="00D35566"/>
    <w:rsid w:val="00D362D1"/>
    <w:rsid w:val="00D368A4"/>
    <w:rsid w:val="00D37DDF"/>
    <w:rsid w:val="00D420EB"/>
    <w:rsid w:val="00D567C6"/>
    <w:rsid w:val="00D603FB"/>
    <w:rsid w:val="00D65AB3"/>
    <w:rsid w:val="00D6605C"/>
    <w:rsid w:val="00D729A6"/>
    <w:rsid w:val="00D772C9"/>
    <w:rsid w:val="00D85045"/>
    <w:rsid w:val="00D86E1B"/>
    <w:rsid w:val="00D93DF1"/>
    <w:rsid w:val="00DA0A8B"/>
    <w:rsid w:val="00DA2BCA"/>
    <w:rsid w:val="00DB0F91"/>
    <w:rsid w:val="00DB553A"/>
    <w:rsid w:val="00DB576D"/>
    <w:rsid w:val="00DB6AB2"/>
    <w:rsid w:val="00DC1AF9"/>
    <w:rsid w:val="00DC294A"/>
    <w:rsid w:val="00DC6A74"/>
    <w:rsid w:val="00DD10B3"/>
    <w:rsid w:val="00DD13A7"/>
    <w:rsid w:val="00DD195E"/>
    <w:rsid w:val="00DD234D"/>
    <w:rsid w:val="00DD6052"/>
    <w:rsid w:val="00DE381C"/>
    <w:rsid w:val="00DE593D"/>
    <w:rsid w:val="00DF0933"/>
    <w:rsid w:val="00DF3BEB"/>
    <w:rsid w:val="00DF4CE3"/>
    <w:rsid w:val="00DF6496"/>
    <w:rsid w:val="00E03658"/>
    <w:rsid w:val="00E04203"/>
    <w:rsid w:val="00E0585F"/>
    <w:rsid w:val="00E07784"/>
    <w:rsid w:val="00E07A3F"/>
    <w:rsid w:val="00E103C8"/>
    <w:rsid w:val="00E107CC"/>
    <w:rsid w:val="00E168C6"/>
    <w:rsid w:val="00E20DB0"/>
    <w:rsid w:val="00E275FA"/>
    <w:rsid w:val="00E27B15"/>
    <w:rsid w:val="00E3190A"/>
    <w:rsid w:val="00E33D12"/>
    <w:rsid w:val="00E34230"/>
    <w:rsid w:val="00E3461E"/>
    <w:rsid w:val="00E440A8"/>
    <w:rsid w:val="00E46D82"/>
    <w:rsid w:val="00E51BFB"/>
    <w:rsid w:val="00E55683"/>
    <w:rsid w:val="00E56775"/>
    <w:rsid w:val="00E576F4"/>
    <w:rsid w:val="00E60F76"/>
    <w:rsid w:val="00E6270D"/>
    <w:rsid w:val="00E704E7"/>
    <w:rsid w:val="00E717EC"/>
    <w:rsid w:val="00E75D47"/>
    <w:rsid w:val="00E76130"/>
    <w:rsid w:val="00E87DAC"/>
    <w:rsid w:val="00E900C5"/>
    <w:rsid w:val="00E90227"/>
    <w:rsid w:val="00E91232"/>
    <w:rsid w:val="00E953FC"/>
    <w:rsid w:val="00EA131A"/>
    <w:rsid w:val="00EA4EAF"/>
    <w:rsid w:val="00EA5557"/>
    <w:rsid w:val="00EA5DB4"/>
    <w:rsid w:val="00EA74C4"/>
    <w:rsid w:val="00EC19A2"/>
    <w:rsid w:val="00EC1AB4"/>
    <w:rsid w:val="00EC3659"/>
    <w:rsid w:val="00EC4AEB"/>
    <w:rsid w:val="00EC50CF"/>
    <w:rsid w:val="00EC5EE4"/>
    <w:rsid w:val="00EC6427"/>
    <w:rsid w:val="00EC69F4"/>
    <w:rsid w:val="00EC791D"/>
    <w:rsid w:val="00EC7B25"/>
    <w:rsid w:val="00ED289B"/>
    <w:rsid w:val="00ED5573"/>
    <w:rsid w:val="00ED5AF2"/>
    <w:rsid w:val="00EE0029"/>
    <w:rsid w:val="00EE15DA"/>
    <w:rsid w:val="00EE1D67"/>
    <w:rsid w:val="00EE2322"/>
    <w:rsid w:val="00EE40D1"/>
    <w:rsid w:val="00EE50E6"/>
    <w:rsid w:val="00EE68DF"/>
    <w:rsid w:val="00EF3140"/>
    <w:rsid w:val="00EF5CE3"/>
    <w:rsid w:val="00F02C74"/>
    <w:rsid w:val="00F035CF"/>
    <w:rsid w:val="00F06A8A"/>
    <w:rsid w:val="00F06B4D"/>
    <w:rsid w:val="00F102EA"/>
    <w:rsid w:val="00F10642"/>
    <w:rsid w:val="00F11577"/>
    <w:rsid w:val="00F16B62"/>
    <w:rsid w:val="00F224BC"/>
    <w:rsid w:val="00F23152"/>
    <w:rsid w:val="00F23BFB"/>
    <w:rsid w:val="00F23FA8"/>
    <w:rsid w:val="00F36CFA"/>
    <w:rsid w:val="00F37825"/>
    <w:rsid w:val="00F439E0"/>
    <w:rsid w:val="00F51203"/>
    <w:rsid w:val="00F5225D"/>
    <w:rsid w:val="00F53408"/>
    <w:rsid w:val="00F560A5"/>
    <w:rsid w:val="00F565D7"/>
    <w:rsid w:val="00F62715"/>
    <w:rsid w:val="00F6691E"/>
    <w:rsid w:val="00F673E5"/>
    <w:rsid w:val="00F70910"/>
    <w:rsid w:val="00F70A21"/>
    <w:rsid w:val="00F74B42"/>
    <w:rsid w:val="00F76B90"/>
    <w:rsid w:val="00F77467"/>
    <w:rsid w:val="00F81A59"/>
    <w:rsid w:val="00F824F7"/>
    <w:rsid w:val="00F83363"/>
    <w:rsid w:val="00F847C4"/>
    <w:rsid w:val="00F86368"/>
    <w:rsid w:val="00F8793E"/>
    <w:rsid w:val="00F91373"/>
    <w:rsid w:val="00F913E9"/>
    <w:rsid w:val="00F966D4"/>
    <w:rsid w:val="00FA005E"/>
    <w:rsid w:val="00FA10AE"/>
    <w:rsid w:val="00FA1943"/>
    <w:rsid w:val="00FA3AB4"/>
    <w:rsid w:val="00FA43CA"/>
    <w:rsid w:val="00FA4460"/>
    <w:rsid w:val="00FA5D46"/>
    <w:rsid w:val="00FB160B"/>
    <w:rsid w:val="00FB17CC"/>
    <w:rsid w:val="00FB4A3C"/>
    <w:rsid w:val="00FC5C09"/>
    <w:rsid w:val="00FC739E"/>
    <w:rsid w:val="00FD1FED"/>
    <w:rsid w:val="00FD232B"/>
    <w:rsid w:val="00FD2BA4"/>
    <w:rsid w:val="00FF02CE"/>
    <w:rsid w:val="00FF0ECA"/>
    <w:rsid w:val="00FF23B5"/>
    <w:rsid w:val="00FF3457"/>
    <w:rsid w:val="00FF7E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960"/>
    <w:pPr>
      <w:suppressAutoHyphens/>
    </w:pPr>
    <w:rPr>
      <w:sz w:val="24"/>
      <w:lang w:val="fr-FR" w:eastAsia="fr-FR"/>
    </w:rPr>
  </w:style>
  <w:style w:type="paragraph" w:styleId="Heading1">
    <w:name w:val="heading 1"/>
    <w:basedOn w:val="Normal"/>
    <w:next w:val="Normal"/>
    <w:qFormat/>
    <w:rsid w:val="00350960"/>
    <w:pPr>
      <w:keepNext/>
      <w:spacing w:before="360" w:after="240"/>
      <w:jc w:val="center"/>
      <w:outlineLvl w:val="0"/>
    </w:pPr>
    <w:rPr>
      <w:b/>
      <w:sz w:val="28"/>
    </w:rPr>
  </w:style>
  <w:style w:type="paragraph" w:styleId="Heading2">
    <w:name w:val="heading 2"/>
    <w:basedOn w:val="Normal"/>
    <w:next w:val="Normal"/>
    <w:qFormat/>
    <w:rsid w:val="00350960"/>
    <w:pPr>
      <w:keepNext/>
      <w:spacing w:before="240" w:after="120"/>
      <w:ind w:left="284" w:hanging="284"/>
      <w:outlineLvl w:val="1"/>
    </w:pPr>
    <w:rPr>
      <w:b/>
    </w:rPr>
  </w:style>
  <w:style w:type="paragraph" w:styleId="Heading3">
    <w:name w:val="heading 3"/>
    <w:basedOn w:val="Normal"/>
    <w:next w:val="Normal"/>
    <w:qFormat/>
    <w:rsid w:val="00350960"/>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350960"/>
  </w:style>
  <w:style w:type="table" w:default="1" w:styleId="TableNormal">
    <w:name w:val="Normal Table"/>
    <w:semiHidden/>
    <w:rsid w:val="00350960"/>
    <w:tblPr>
      <w:tblInd w:w="0" w:type="dxa"/>
      <w:tblCellMar>
        <w:top w:w="0" w:type="dxa"/>
        <w:left w:w="108" w:type="dxa"/>
        <w:bottom w:w="0" w:type="dxa"/>
        <w:right w:w="108" w:type="dxa"/>
      </w:tblCellMar>
    </w:tblPr>
  </w:style>
  <w:style w:type="numbering" w:default="1" w:styleId="NoList">
    <w:name w:val="No List"/>
    <w:semiHidden/>
    <w:rsid w:val="00350960"/>
  </w:style>
  <w:style w:type="paragraph" w:customStyle="1" w:styleId="OpiHA">
    <w:name w:val="Opi_H_A"/>
    <w:basedOn w:val="JuHIRoman"/>
    <w:next w:val="OpiPara"/>
    <w:rsid w:val="00A53F42"/>
    <w:pPr>
      <w:tabs>
        <w:tab w:val="clear" w:pos="357"/>
      </w:tabs>
    </w:pPr>
    <w:rPr>
      <w:b/>
    </w:rPr>
  </w:style>
  <w:style w:type="paragraph" w:customStyle="1" w:styleId="JuHIRoman">
    <w:name w:val="Ju_H_I_Roman"/>
    <w:basedOn w:val="JuHHead"/>
    <w:next w:val="JuPara"/>
    <w:link w:val="JuHIRomanChar"/>
    <w:rsid w:val="004219F0"/>
    <w:pPr>
      <w:tabs>
        <w:tab w:val="left" w:pos="357"/>
      </w:tabs>
      <w:spacing w:before="360"/>
      <w:ind w:left="357" w:hanging="357"/>
      <w:outlineLvl w:val="1"/>
    </w:pPr>
    <w:rPr>
      <w:sz w:val="24"/>
    </w:rPr>
  </w:style>
  <w:style w:type="paragraph" w:customStyle="1" w:styleId="JuHHead">
    <w:name w:val="Ju_H_Head"/>
    <w:basedOn w:val="NormalTimesNewRoman"/>
    <w:next w:val="JuPara"/>
    <w:rsid w:val="004219F0"/>
    <w:pPr>
      <w:keepNext/>
      <w:keepLines/>
      <w:spacing w:before="720" w:after="240"/>
      <w:jc w:val="both"/>
      <w:outlineLvl w:val="0"/>
    </w:pPr>
    <w:rPr>
      <w:sz w:val="28"/>
    </w:rPr>
  </w:style>
  <w:style w:type="character" w:customStyle="1" w:styleId="DefaultTimesNewRoman">
    <w:name w:val="Default_TimesNewRoman"/>
    <w:rsid w:val="004219F0"/>
    <w:rPr>
      <w:rFonts w:ascii="Times New Roman" w:hAnsi="Times New Roman" w:cs="Times New Roman"/>
    </w:rPr>
  </w:style>
  <w:style w:type="paragraph" w:customStyle="1" w:styleId="JuPara">
    <w:name w:val="Ju_Para"/>
    <w:aliases w:val="Left,First line:  0 cm"/>
    <w:basedOn w:val="NormalTimesNewRoman"/>
    <w:link w:val="JuParaCar"/>
    <w:rsid w:val="004219F0"/>
    <w:pPr>
      <w:ind w:firstLine="284"/>
      <w:jc w:val="both"/>
    </w:pPr>
  </w:style>
  <w:style w:type="character" w:customStyle="1" w:styleId="JuParaCar">
    <w:name w:val="Ju_Para Car"/>
    <w:link w:val="JuPara"/>
    <w:rsid w:val="009D29DE"/>
    <w:rPr>
      <w:sz w:val="24"/>
      <w:lang w:val="fr-FR" w:eastAsia="fr-FR" w:bidi="ar-SA"/>
    </w:rPr>
  </w:style>
  <w:style w:type="character" w:customStyle="1" w:styleId="JuHIRomanChar">
    <w:name w:val="Ju_H_I_Roman Char"/>
    <w:link w:val="JuHIRoman"/>
    <w:rsid w:val="00D31210"/>
    <w:rPr>
      <w:sz w:val="24"/>
      <w:lang w:val="fr-FR" w:eastAsia="fr-FR" w:bidi="ar-SA"/>
    </w:rPr>
  </w:style>
  <w:style w:type="paragraph" w:customStyle="1" w:styleId="OpiPara">
    <w:name w:val="Opi_Para"/>
    <w:basedOn w:val="JuPara"/>
    <w:rsid w:val="00A53F42"/>
  </w:style>
  <w:style w:type="paragraph" w:customStyle="1" w:styleId="OpiH1">
    <w:name w:val="Opi_H_1."/>
    <w:basedOn w:val="OpiHA"/>
    <w:next w:val="OpiPara"/>
    <w:rsid w:val="00A53F42"/>
    <w:pPr>
      <w:spacing w:before="240" w:after="120"/>
      <w:ind w:left="635"/>
      <w:outlineLvl w:val="2"/>
    </w:pPr>
    <w:rPr>
      <w:b w:val="0"/>
      <w:i/>
    </w:rPr>
  </w:style>
  <w:style w:type="paragraph" w:customStyle="1" w:styleId="OpiHa0">
    <w:name w:val="Opi_H_a"/>
    <w:basedOn w:val="OpiH1"/>
    <w:next w:val="OpiPara"/>
    <w:rsid w:val="00A53F42"/>
    <w:pPr>
      <w:ind w:left="833"/>
      <w:outlineLvl w:val="3"/>
    </w:pPr>
    <w:rPr>
      <w:b/>
      <w:i w:val="0"/>
      <w:sz w:val="20"/>
    </w:rPr>
  </w:style>
  <w:style w:type="paragraph" w:customStyle="1" w:styleId="OpiHHead">
    <w:name w:val="Opi_H_Head"/>
    <w:basedOn w:val="JuHHead"/>
    <w:next w:val="OpiPara"/>
    <w:rsid w:val="00A53F42"/>
    <w:pPr>
      <w:spacing w:before="0"/>
      <w:jc w:val="center"/>
    </w:pPr>
  </w:style>
  <w:style w:type="paragraph" w:customStyle="1" w:styleId="OpiHi">
    <w:name w:val="Opi_H_i"/>
    <w:basedOn w:val="OpiHa0"/>
    <w:next w:val="OpiPara"/>
    <w:rsid w:val="00A53F42"/>
    <w:pPr>
      <w:ind w:left="1037"/>
      <w:outlineLvl w:val="4"/>
    </w:pPr>
    <w:rPr>
      <w:b w:val="0"/>
      <w:i/>
    </w:rPr>
  </w:style>
  <w:style w:type="paragraph" w:styleId="Footer">
    <w:name w:val="footer"/>
    <w:basedOn w:val="Normal"/>
    <w:rsid w:val="004219F0"/>
    <w:pPr>
      <w:tabs>
        <w:tab w:val="center" w:pos="3686"/>
        <w:tab w:val="right" w:pos="7371"/>
      </w:tabs>
    </w:pPr>
    <w:rPr>
      <w:sz w:val="18"/>
    </w:rPr>
  </w:style>
  <w:style w:type="paragraph" w:customStyle="1" w:styleId="JuJudges">
    <w:name w:val="Ju_Judges"/>
    <w:basedOn w:val="NormalTimesNewRoman"/>
    <w:link w:val="JuJudgesChar"/>
    <w:rsid w:val="004219F0"/>
    <w:pPr>
      <w:tabs>
        <w:tab w:val="left" w:pos="567"/>
        <w:tab w:val="left" w:pos="1134"/>
      </w:tabs>
    </w:pPr>
  </w:style>
  <w:style w:type="character" w:customStyle="1" w:styleId="JuJudgesChar">
    <w:name w:val="Ju_Judges Char"/>
    <w:link w:val="JuJudges"/>
    <w:rsid w:val="00287191"/>
    <w:rPr>
      <w:sz w:val="24"/>
      <w:lang w:val="fr-FR" w:eastAsia="fr-FR" w:bidi="ar-SA"/>
    </w:rPr>
  </w:style>
  <w:style w:type="character" w:styleId="Strong">
    <w:name w:val="Strong"/>
    <w:qFormat/>
    <w:rsid w:val="00973C75"/>
    <w:rPr>
      <w:b/>
      <w:bCs/>
    </w:rPr>
  </w:style>
  <w:style w:type="paragraph" w:customStyle="1" w:styleId="JuHA">
    <w:name w:val="Ju_H_A"/>
    <w:basedOn w:val="JuHIRoman"/>
    <w:next w:val="JuPara"/>
    <w:rsid w:val="004219F0"/>
    <w:pPr>
      <w:tabs>
        <w:tab w:val="clear" w:pos="357"/>
        <w:tab w:val="left" w:pos="584"/>
      </w:tabs>
      <w:ind w:left="584" w:hanging="352"/>
      <w:outlineLvl w:val="2"/>
    </w:pPr>
    <w:rPr>
      <w:b/>
    </w:rPr>
  </w:style>
  <w:style w:type="paragraph" w:customStyle="1" w:styleId="JuQuot">
    <w:name w:val="Ju_Quot"/>
    <w:basedOn w:val="JuPara"/>
    <w:link w:val="JuQuotChar"/>
    <w:rsid w:val="004219F0"/>
    <w:pPr>
      <w:spacing w:before="120" w:after="120"/>
      <w:ind w:left="425" w:firstLine="142"/>
    </w:pPr>
    <w:rPr>
      <w:sz w:val="20"/>
    </w:rPr>
  </w:style>
  <w:style w:type="paragraph" w:customStyle="1" w:styleId="JuSigned">
    <w:name w:val="Ju_Signed"/>
    <w:basedOn w:val="NormalTimesNewRoman"/>
    <w:next w:val="JuParaLast"/>
    <w:rsid w:val="004219F0"/>
    <w:pPr>
      <w:tabs>
        <w:tab w:val="center" w:pos="851"/>
        <w:tab w:val="center" w:pos="6407"/>
      </w:tabs>
      <w:spacing w:before="720"/>
    </w:pPr>
  </w:style>
  <w:style w:type="paragraph" w:customStyle="1" w:styleId="JuParaLast">
    <w:name w:val="Ju_Para_Last"/>
    <w:basedOn w:val="JuPara"/>
    <w:next w:val="JuPara"/>
    <w:rsid w:val="004219F0"/>
    <w:pPr>
      <w:keepNext/>
      <w:keepLines/>
      <w:spacing w:before="240"/>
    </w:pPr>
  </w:style>
  <w:style w:type="paragraph" w:customStyle="1" w:styleId="JuCase">
    <w:name w:val="Ju_Case"/>
    <w:basedOn w:val="JuPara"/>
    <w:next w:val="JuPara"/>
    <w:rsid w:val="004219F0"/>
    <w:rPr>
      <w:b/>
    </w:rPr>
  </w:style>
  <w:style w:type="paragraph" w:customStyle="1" w:styleId="JuList">
    <w:name w:val="Ju_List"/>
    <w:basedOn w:val="JuPara"/>
    <w:rsid w:val="004219F0"/>
    <w:pPr>
      <w:ind w:left="340" w:hanging="340"/>
    </w:pPr>
  </w:style>
  <w:style w:type="paragraph" w:customStyle="1" w:styleId="JuHArticle">
    <w:name w:val="Ju_H_Article"/>
    <w:basedOn w:val="JuHa0"/>
    <w:next w:val="JuQuot"/>
    <w:link w:val="JuHArticleChar"/>
    <w:rsid w:val="004219F0"/>
    <w:pPr>
      <w:ind w:left="0" w:firstLine="0"/>
      <w:jc w:val="center"/>
    </w:pPr>
  </w:style>
  <w:style w:type="paragraph" w:customStyle="1" w:styleId="JuHa0">
    <w:name w:val="Ju_H_a"/>
    <w:basedOn w:val="JuH1"/>
    <w:next w:val="JuPara"/>
    <w:rsid w:val="004219F0"/>
    <w:pPr>
      <w:tabs>
        <w:tab w:val="clear" w:pos="731"/>
        <w:tab w:val="left" w:pos="975"/>
      </w:tabs>
      <w:ind w:left="975" w:hanging="340"/>
      <w:outlineLvl w:val="4"/>
    </w:pPr>
    <w:rPr>
      <w:b/>
      <w:i w:val="0"/>
      <w:sz w:val="20"/>
    </w:rPr>
  </w:style>
  <w:style w:type="paragraph" w:customStyle="1" w:styleId="JuH1">
    <w:name w:val="Ju_H_1."/>
    <w:basedOn w:val="JuHA"/>
    <w:next w:val="JuPara"/>
    <w:rsid w:val="004219F0"/>
    <w:pPr>
      <w:tabs>
        <w:tab w:val="clear" w:pos="584"/>
        <w:tab w:val="left" w:pos="731"/>
      </w:tabs>
      <w:spacing w:before="240" w:after="120"/>
      <w:ind w:left="732" w:hanging="301"/>
      <w:outlineLvl w:val="3"/>
    </w:pPr>
    <w:rPr>
      <w:b w:val="0"/>
      <w:i/>
    </w:rPr>
  </w:style>
  <w:style w:type="paragraph" w:customStyle="1" w:styleId="JuCourt">
    <w:name w:val="Ju_Court"/>
    <w:basedOn w:val="JuJudges"/>
    <w:rsid w:val="004219F0"/>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A53F42"/>
  </w:style>
  <w:style w:type="paragraph" w:customStyle="1" w:styleId="OpiTranslation">
    <w:name w:val="Opi_Translation"/>
    <w:basedOn w:val="OpiHHead"/>
    <w:next w:val="OpiPara"/>
    <w:rsid w:val="00A53F42"/>
    <w:rPr>
      <w:i/>
      <w:sz w:val="24"/>
    </w:rPr>
  </w:style>
  <w:style w:type="paragraph" w:styleId="FootnoteText">
    <w:name w:val="footnote text"/>
    <w:basedOn w:val="Normal"/>
    <w:semiHidden/>
    <w:rsid w:val="004219F0"/>
    <w:pPr>
      <w:jc w:val="both"/>
    </w:pPr>
    <w:rPr>
      <w:sz w:val="20"/>
    </w:rPr>
  </w:style>
  <w:style w:type="character" w:styleId="FootnoteReference">
    <w:name w:val="footnote reference"/>
    <w:semiHidden/>
    <w:rsid w:val="004219F0"/>
    <w:rPr>
      <w:rFonts w:ascii="Times New Roman" w:hAnsi="Times New Roman" w:cs="Times New Roman"/>
      <w:vertAlign w:val="superscript"/>
    </w:rPr>
  </w:style>
  <w:style w:type="paragraph" w:customStyle="1" w:styleId="JuHi">
    <w:name w:val="Ju_H_i"/>
    <w:basedOn w:val="JuHa0"/>
    <w:next w:val="JuPara"/>
    <w:rsid w:val="004219F0"/>
    <w:pPr>
      <w:tabs>
        <w:tab w:val="clear" w:pos="975"/>
        <w:tab w:val="left" w:pos="1191"/>
      </w:tabs>
      <w:ind w:left="1190" w:hanging="357"/>
      <w:outlineLvl w:val="5"/>
    </w:pPr>
    <w:rPr>
      <w:b w:val="0"/>
      <w:i/>
    </w:rPr>
  </w:style>
  <w:style w:type="paragraph" w:styleId="Header">
    <w:name w:val="header"/>
    <w:basedOn w:val="Normal"/>
    <w:rsid w:val="004219F0"/>
    <w:pPr>
      <w:tabs>
        <w:tab w:val="center" w:pos="3686"/>
        <w:tab w:val="right" w:pos="7371"/>
      </w:tabs>
    </w:pPr>
    <w:rPr>
      <w:sz w:val="18"/>
    </w:rPr>
  </w:style>
  <w:style w:type="character" w:styleId="PageNumber">
    <w:name w:val="page number"/>
    <w:rsid w:val="004219F0"/>
    <w:rPr>
      <w:rFonts w:ascii="Times New Roman" w:hAnsi="Times New Roman" w:cs="Times New Roman"/>
      <w:sz w:val="18"/>
    </w:rPr>
  </w:style>
  <w:style w:type="paragraph" w:customStyle="1" w:styleId="JuH">
    <w:name w:val="Ju_H_–"/>
    <w:basedOn w:val="JuHalpha"/>
    <w:next w:val="JuPara"/>
    <w:rsid w:val="004219F0"/>
    <w:pPr>
      <w:tabs>
        <w:tab w:val="clear" w:pos="1372"/>
      </w:tabs>
      <w:ind w:left="1236" w:firstLine="0"/>
    </w:pPr>
    <w:rPr>
      <w:i/>
    </w:rPr>
  </w:style>
  <w:style w:type="paragraph" w:customStyle="1" w:styleId="JuHalpha">
    <w:name w:val="Ju_H_alpha"/>
    <w:basedOn w:val="JuHi"/>
    <w:next w:val="JuPara"/>
    <w:rsid w:val="004219F0"/>
    <w:pPr>
      <w:tabs>
        <w:tab w:val="clear" w:pos="1191"/>
        <w:tab w:val="left" w:pos="1372"/>
      </w:tabs>
      <w:ind w:left="1373" w:hanging="335"/>
      <w:outlineLvl w:val="9"/>
    </w:pPr>
    <w:rPr>
      <w:i w:val="0"/>
    </w:rPr>
  </w:style>
  <w:style w:type="paragraph" w:customStyle="1" w:styleId="JuLista">
    <w:name w:val="Ju_List_a"/>
    <w:basedOn w:val="JuList"/>
    <w:rsid w:val="004219F0"/>
    <w:pPr>
      <w:ind w:left="346" w:firstLine="0"/>
    </w:pPr>
  </w:style>
  <w:style w:type="paragraph" w:customStyle="1" w:styleId="JuListi">
    <w:name w:val="Ju_List_i"/>
    <w:basedOn w:val="JuLista"/>
    <w:rsid w:val="004219F0"/>
    <w:pPr>
      <w:ind w:left="794"/>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JuInitialled">
    <w:name w:val="Ju_Initialled"/>
    <w:basedOn w:val="JuSigned"/>
    <w:rsid w:val="004219F0"/>
    <w:pPr>
      <w:tabs>
        <w:tab w:val="clear" w:pos="851"/>
      </w:tabs>
      <w:jc w:val="right"/>
    </w:pPr>
  </w:style>
  <w:style w:type="paragraph" w:customStyle="1" w:styleId="JuHeader">
    <w:name w:val="Ju_Header"/>
    <w:basedOn w:val="Header"/>
    <w:rsid w:val="004219F0"/>
  </w:style>
  <w:style w:type="paragraph" w:customStyle="1" w:styleId="DecHTitle">
    <w:name w:val="Dec_H_Title"/>
    <w:basedOn w:val="Normal"/>
    <w:rsid w:val="00184E3A"/>
    <w:pPr>
      <w:spacing w:after="240"/>
      <w:jc w:val="center"/>
      <w:outlineLvl w:val="0"/>
    </w:pPr>
    <w:rPr>
      <w:sz w:val="28"/>
    </w:rPr>
  </w:style>
  <w:style w:type="paragraph" w:customStyle="1" w:styleId="DecHCase">
    <w:name w:val="Dec_H_Case"/>
    <w:basedOn w:val="DecHTitle"/>
    <w:next w:val="JuPara"/>
    <w:rsid w:val="00A53F42"/>
    <w:rPr>
      <w:sz w:val="24"/>
    </w:rPr>
  </w:style>
  <w:style w:type="paragraph" w:customStyle="1" w:styleId="DecList">
    <w:name w:val="Dec_List"/>
    <w:basedOn w:val="Normal"/>
    <w:rsid w:val="00184E3A"/>
    <w:pPr>
      <w:spacing w:before="240"/>
      <w:ind w:left="284"/>
      <w:jc w:val="both"/>
    </w:pPr>
  </w:style>
  <w:style w:type="paragraph" w:customStyle="1" w:styleId="SuCoverTitle1">
    <w:name w:val="Su_Cover_Title1"/>
    <w:basedOn w:val="Normal"/>
    <w:next w:val="SuCoverTitle2"/>
    <w:rsid w:val="00184E3A"/>
    <w:pPr>
      <w:spacing w:before="2500"/>
      <w:jc w:val="center"/>
    </w:pPr>
    <w:rPr>
      <w:sz w:val="22"/>
    </w:rPr>
  </w:style>
  <w:style w:type="paragraph" w:customStyle="1" w:styleId="SuCoverTitle2">
    <w:name w:val="Su_Cover_Title2"/>
    <w:basedOn w:val="SuCoverTitle1"/>
    <w:next w:val="Normal"/>
    <w:rsid w:val="00387F24"/>
    <w:pPr>
      <w:spacing w:before="240"/>
    </w:pPr>
    <w:rPr>
      <w:sz w:val="18"/>
    </w:rPr>
  </w:style>
  <w:style w:type="paragraph" w:customStyle="1" w:styleId="JuQuotSub">
    <w:name w:val="Ju_Quot_Sub"/>
    <w:basedOn w:val="JuQuot"/>
    <w:rsid w:val="004219F0"/>
    <w:pPr>
      <w:ind w:left="567"/>
    </w:pPr>
  </w:style>
  <w:style w:type="paragraph" w:customStyle="1" w:styleId="JuParaSub">
    <w:name w:val="Ju_Para_Sub"/>
    <w:basedOn w:val="JuPara"/>
    <w:rsid w:val="004219F0"/>
    <w:pPr>
      <w:ind w:left="284"/>
    </w:pPr>
  </w:style>
  <w:style w:type="paragraph" w:customStyle="1" w:styleId="SuPara">
    <w:name w:val="Su_Para"/>
    <w:basedOn w:val="SuKeywords"/>
    <w:rsid w:val="00387F24"/>
    <w:pPr>
      <w:spacing w:before="0" w:after="0"/>
    </w:pPr>
    <w:rPr>
      <w:i w:val="0"/>
    </w:rPr>
  </w:style>
  <w:style w:type="paragraph" w:customStyle="1" w:styleId="SuKeywords">
    <w:name w:val="Su_Keywords"/>
    <w:basedOn w:val="SuHHead"/>
    <w:rsid w:val="00387F24"/>
    <w:pPr>
      <w:spacing w:before="120"/>
    </w:pPr>
    <w:rPr>
      <w:b w:val="0"/>
      <w:i/>
    </w:rPr>
  </w:style>
  <w:style w:type="paragraph" w:customStyle="1" w:styleId="SuHHead">
    <w:name w:val="Su_H_Head"/>
    <w:basedOn w:val="SuSubject"/>
    <w:rsid w:val="00387F24"/>
    <w:pPr>
      <w:spacing w:after="120"/>
    </w:pPr>
  </w:style>
  <w:style w:type="paragraph" w:customStyle="1" w:styleId="SuSubject">
    <w:name w:val="Su_Subject"/>
    <w:basedOn w:val="SuSummary"/>
    <w:rsid w:val="00387F24"/>
    <w:pPr>
      <w:suppressAutoHyphens w:val="0"/>
      <w:spacing w:before="360"/>
      <w:jc w:val="both"/>
    </w:pPr>
    <w:rPr>
      <w:b/>
      <w:sz w:val="22"/>
      <w:lang w:val="en-GB"/>
    </w:rPr>
  </w:style>
  <w:style w:type="paragraph" w:customStyle="1" w:styleId="SuSummary">
    <w:name w:val="Su_Summary"/>
    <w:basedOn w:val="Normal"/>
    <w:next w:val="SuSubject"/>
    <w:rsid w:val="00184E3A"/>
    <w:pPr>
      <w:spacing w:after="240"/>
      <w:jc w:val="center"/>
    </w:pPr>
  </w:style>
  <w:style w:type="paragraph" w:styleId="BalloonText">
    <w:name w:val="Balloon Text"/>
    <w:basedOn w:val="Normal"/>
    <w:semiHidden/>
    <w:rsid w:val="00EC6427"/>
    <w:rPr>
      <w:rFonts w:ascii="Tahoma" w:hAnsi="Tahoma" w:cs="Tahoma"/>
      <w:sz w:val="16"/>
      <w:szCs w:val="16"/>
    </w:rPr>
  </w:style>
  <w:style w:type="character" w:styleId="Hyperlink">
    <w:name w:val="Hyperlink"/>
    <w:rsid w:val="004219F0"/>
    <w:rPr>
      <w:rFonts w:ascii="Times New Roman" w:hAnsi="Times New Roman" w:cs="Times New Roman"/>
      <w:color w:val="0000FF"/>
      <w:u w:val="single"/>
    </w:rPr>
  </w:style>
  <w:style w:type="character" w:styleId="EndnoteReference">
    <w:name w:val="endnote reference"/>
    <w:semiHidden/>
    <w:rsid w:val="004219F0"/>
    <w:rPr>
      <w:rFonts w:ascii="Times New Roman" w:hAnsi="Times New Roman" w:cs="Times New Roman"/>
      <w:vertAlign w:val="superscript"/>
    </w:rPr>
  </w:style>
  <w:style w:type="paragraph" w:styleId="EndnoteText">
    <w:name w:val="endnote text"/>
    <w:basedOn w:val="Normal"/>
    <w:semiHidden/>
    <w:rsid w:val="004219F0"/>
    <w:rPr>
      <w:sz w:val="20"/>
    </w:rPr>
  </w:style>
  <w:style w:type="character" w:styleId="FollowedHyperlink">
    <w:name w:val="FollowedHyperlink"/>
    <w:rsid w:val="004219F0"/>
    <w:rPr>
      <w:rFonts w:ascii="Times New Roman" w:hAnsi="Times New Roman" w:cs="Times New Roman"/>
      <w:color w:val="800080"/>
      <w:u w:val="single"/>
    </w:rPr>
  </w:style>
  <w:style w:type="paragraph" w:customStyle="1" w:styleId="JuAppQuestion">
    <w:name w:val="Ju_App_Question"/>
    <w:basedOn w:val="ListBullet"/>
    <w:rsid w:val="004219F0"/>
    <w:pPr>
      <w:numPr>
        <w:numId w:val="4"/>
      </w:numPr>
      <w:suppressAutoHyphens w:val="0"/>
    </w:pPr>
    <w:rPr>
      <w:b/>
      <w:color w:val="333333"/>
      <w:lang w:val="en-GB"/>
    </w:rPr>
  </w:style>
  <w:style w:type="paragraph" w:styleId="ListBullet">
    <w:name w:val="List Bullet"/>
    <w:basedOn w:val="Normal"/>
    <w:rsid w:val="00387F24"/>
    <w:pPr>
      <w:numPr>
        <w:numId w:val="1"/>
      </w:numPr>
    </w:pPr>
  </w:style>
  <w:style w:type="character" w:customStyle="1" w:styleId="JuNames">
    <w:name w:val="Ju_Names"/>
    <w:rsid w:val="004219F0"/>
    <w:rPr>
      <w:rFonts w:ascii="Times New Roman" w:hAnsi="Times New Roman" w:cs="Times New Roman"/>
      <w:smallCaps/>
    </w:rPr>
  </w:style>
  <w:style w:type="paragraph" w:customStyle="1" w:styleId="OpiParaSub">
    <w:name w:val="Opi_Para_Sub"/>
    <w:basedOn w:val="JuParaSub"/>
    <w:rsid w:val="00A53F42"/>
  </w:style>
  <w:style w:type="paragraph" w:customStyle="1" w:styleId="OpiQuotSub">
    <w:name w:val="Opi_Quot_Sub"/>
    <w:basedOn w:val="JuQuotSub"/>
    <w:rsid w:val="00A53F42"/>
  </w:style>
  <w:style w:type="paragraph" w:styleId="CommentSubject">
    <w:name w:val="annotation subject"/>
    <w:basedOn w:val="CommentText"/>
    <w:next w:val="CommentText"/>
    <w:semiHidden/>
    <w:rsid w:val="00E27B15"/>
    <w:rPr>
      <w:b/>
      <w:bCs/>
    </w:rPr>
  </w:style>
  <w:style w:type="paragraph" w:styleId="DocumentMap">
    <w:name w:val="Document Map"/>
    <w:basedOn w:val="Normal"/>
    <w:semiHidden/>
    <w:rsid w:val="00B33C50"/>
    <w:pPr>
      <w:shd w:val="clear" w:color="auto" w:fill="000080"/>
    </w:pPr>
    <w:rPr>
      <w:rFonts w:ascii="Tahoma" w:hAnsi="Tahoma" w:cs="Tahoma"/>
      <w:sz w:val="20"/>
    </w:rPr>
  </w:style>
  <w:style w:type="paragraph" w:customStyle="1" w:styleId="NormalTimesNewRoman">
    <w:name w:val="Normal_TimesNewRoman"/>
    <w:rsid w:val="004219F0"/>
    <w:rPr>
      <w:sz w:val="24"/>
      <w:lang w:val="fr-FR" w:eastAsia="fr-FR"/>
    </w:rPr>
  </w:style>
  <w:style w:type="character" w:customStyle="1" w:styleId="JuITMark">
    <w:name w:val="Ju_ITMark"/>
    <w:rsid w:val="004219F0"/>
    <w:rPr>
      <w:rFonts w:ascii="Times New Roman" w:hAnsi="Times New Roman" w:cs="Times New Roman"/>
      <w:vanish/>
      <w:color w:val="339966"/>
      <w:sz w:val="16"/>
      <w:szCs w:val="16"/>
      <w:lang w:val="fi-FI"/>
    </w:rPr>
  </w:style>
  <w:style w:type="paragraph" w:customStyle="1" w:styleId="JuTitle">
    <w:name w:val="Ju_Title"/>
    <w:basedOn w:val="JuHHead"/>
    <w:next w:val="JuPara"/>
    <w:rsid w:val="004219F0"/>
    <w:pPr>
      <w:jc w:val="center"/>
    </w:pPr>
    <w:rPr>
      <w:b/>
      <w:caps/>
      <w:sz w:val="24"/>
      <w:szCs w:val="24"/>
      <w:u w:val="single"/>
    </w:rPr>
  </w:style>
  <w:style w:type="character" w:customStyle="1" w:styleId="JuParaChar">
    <w:name w:val="Ju_Para Char"/>
    <w:locked/>
    <w:rsid w:val="00C27BF2"/>
    <w:rPr>
      <w:sz w:val="24"/>
      <w:lang w:val="en-GB" w:eastAsia="fr-FR" w:bidi="ar-SA"/>
    </w:rPr>
  </w:style>
  <w:style w:type="character" w:customStyle="1" w:styleId="JuQuotChar">
    <w:name w:val="Ju_Quot Char"/>
    <w:link w:val="JuQuot"/>
    <w:rsid w:val="00335173"/>
    <w:rPr>
      <w:lang w:val="fr-FR" w:eastAsia="fr-FR" w:bidi="ar-SA"/>
    </w:rPr>
  </w:style>
  <w:style w:type="character" w:customStyle="1" w:styleId="ju-005fpara--char">
    <w:name w:val="ju-005fpara--char"/>
    <w:basedOn w:val="DefaultParagraphFont"/>
    <w:rsid w:val="00AC76D5"/>
  </w:style>
  <w:style w:type="character" w:customStyle="1" w:styleId="JuHArticleChar">
    <w:name w:val="Ju_H_Article Char"/>
    <w:link w:val="JuHArticle"/>
    <w:rsid w:val="00AC76D5"/>
    <w:rPr>
      <w:b/>
      <w:lang w:val="fr-FR" w:eastAsia="fr-FR" w:bidi="ar-SA"/>
    </w:rPr>
  </w:style>
  <w:style w:type="character" w:customStyle="1" w:styleId="sb8d990e2">
    <w:name w:val="sb8d990e2"/>
    <w:basedOn w:val="DefaultParagraphFont"/>
    <w:rsid w:val="000D726C"/>
  </w:style>
  <w:style w:type="character" w:customStyle="1" w:styleId="sea881cdf">
    <w:name w:val="sea881cdf"/>
    <w:basedOn w:val="DefaultParagraphFont"/>
    <w:rsid w:val="000D726C"/>
  </w:style>
  <w:style w:type="character" w:customStyle="1" w:styleId="s6b621b36">
    <w:name w:val="s6b621b36"/>
    <w:basedOn w:val="DefaultParagraphFont"/>
    <w:rsid w:val="000D726C"/>
  </w:style>
  <w:style w:type="character" w:customStyle="1" w:styleId="s7d2086b4">
    <w:name w:val="s7d2086b4"/>
    <w:basedOn w:val="DefaultParagraphFont"/>
    <w:rsid w:val="000D726C"/>
  </w:style>
  <w:style w:type="paragraph" w:customStyle="1" w:styleId="Default">
    <w:name w:val="Default"/>
    <w:rsid w:val="001C78F1"/>
    <w:pPr>
      <w:autoSpaceDE w:val="0"/>
      <w:autoSpaceDN w:val="0"/>
      <w:adjustRightInd w:val="0"/>
    </w:pPr>
    <w:rPr>
      <w:color w:val="000000"/>
      <w:sz w:val="24"/>
      <w:szCs w:val="24"/>
      <w:lang w:val="en-GB" w:eastAsia="en-GB"/>
    </w:rPr>
  </w:style>
  <w:style w:type="character" w:customStyle="1" w:styleId="ju--005fpara----char--char">
    <w:name w:val="ju--005fpara----char--char"/>
    <w:rsid w:val="00DB576D"/>
    <w:rPr>
      <w:rFonts w:cs="Times New Roman"/>
    </w:rPr>
  </w:style>
  <w:style w:type="character" w:customStyle="1" w:styleId="ju-005fpara-002cleft-002cfirst-0020line-003a-0020-00200-0020cm--char">
    <w:name w:val="ju-005fpara-002cleft-002cfirst-0020line-003a-0020-00200-0020cm--char"/>
    <w:rsid w:val="00DB576D"/>
    <w:rPr>
      <w:rFonts w:cs="Times New Roman"/>
    </w:rPr>
  </w:style>
  <w:style w:type="paragraph" w:customStyle="1" w:styleId="jupara0">
    <w:name w:val="jupara"/>
    <w:basedOn w:val="Normal"/>
    <w:rsid w:val="008615F7"/>
    <w:pPr>
      <w:suppressAutoHyphens w:val="0"/>
      <w:ind w:firstLine="284"/>
      <w:jc w:val="both"/>
    </w:pPr>
    <w:rPr>
      <w:szCs w:val="24"/>
      <w:lang w:val="en-GB" w:eastAsia="en-GB"/>
    </w:rPr>
  </w:style>
  <w:style w:type="paragraph" w:customStyle="1" w:styleId="jucase0">
    <w:name w:val="jucase"/>
    <w:basedOn w:val="Normal"/>
    <w:rsid w:val="008615F7"/>
    <w:pPr>
      <w:suppressAutoHyphens w:val="0"/>
      <w:ind w:firstLine="284"/>
      <w:jc w:val="both"/>
    </w:pPr>
    <w:rPr>
      <w:b/>
      <w:bCs/>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960"/>
    <w:pPr>
      <w:suppressAutoHyphens/>
    </w:pPr>
    <w:rPr>
      <w:sz w:val="24"/>
      <w:lang w:val="fr-FR" w:eastAsia="fr-FR"/>
    </w:rPr>
  </w:style>
  <w:style w:type="paragraph" w:styleId="Heading1">
    <w:name w:val="heading 1"/>
    <w:basedOn w:val="Normal"/>
    <w:next w:val="Normal"/>
    <w:qFormat/>
    <w:rsid w:val="00350960"/>
    <w:pPr>
      <w:keepNext/>
      <w:spacing w:before="360" w:after="240"/>
      <w:jc w:val="center"/>
      <w:outlineLvl w:val="0"/>
    </w:pPr>
    <w:rPr>
      <w:b/>
      <w:sz w:val="28"/>
    </w:rPr>
  </w:style>
  <w:style w:type="paragraph" w:styleId="Heading2">
    <w:name w:val="heading 2"/>
    <w:basedOn w:val="Normal"/>
    <w:next w:val="Normal"/>
    <w:qFormat/>
    <w:rsid w:val="00350960"/>
    <w:pPr>
      <w:keepNext/>
      <w:spacing w:before="240" w:after="120"/>
      <w:ind w:left="284" w:hanging="284"/>
      <w:outlineLvl w:val="1"/>
    </w:pPr>
    <w:rPr>
      <w:b/>
    </w:rPr>
  </w:style>
  <w:style w:type="paragraph" w:styleId="Heading3">
    <w:name w:val="heading 3"/>
    <w:basedOn w:val="Normal"/>
    <w:next w:val="Normal"/>
    <w:qFormat/>
    <w:rsid w:val="00350960"/>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350960"/>
  </w:style>
  <w:style w:type="table" w:default="1" w:styleId="TableNormal">
    <w:name w:val="Normal Table"/>
    <w:semiHidden/>
    <w:rsid w:val="00350960"/>
    <w:tblPr>
      <w:tblInd w:w="0" w:type="dxa"/>
      <w:tblCellMar>
        <w:top w:w="0" w:type="dxa"/>
        <w:left w:w="108" w:type="dxa"/>
        <w:bottom w:w="0" w:type="dxa"/>
        <w:right w:w="108" w:type="dxa"/>
      </w:tblCellMar>
    </w:tblPr>
  </w:style>
  <w:style w:type="numbering" w:default="1" w:styleId="NoList">
    <w:name w:val="No List"/>
    <w:semiHidden/>
    <w:rsid w:val="00350960"/>
  </w:style>
  <w:style w:type="paragraph" w:customStyle="1" w:styleId="OpiHA">
    <w:name w:val="Opi_H_A"/>
    <w:basedOn w:val="JuHIRoman"/>
    <w:next w:val="OpiPara"/>
    <w:rsid w:val="00A53F42"/>
    <w:pPr>
      <w:tabs>
        <w:tab w:val="clear" w:pos="357"/>
      </w:tabs>
    </w:pPr>
    <w:rPr>
      <w:b/>
    </w:rPr>
  </w:style>
  <w:style w:type="paragraph" w:customStyle="1" w:styleId="JuHIRoman">
    <w:name w:val="Ju_H_I_Roman"/>
    <w:basedOn w:val="JuHHead"/>
    <w:next w:val="JuPara"/>
    <w:link w:val="JuHIRomanChar"/>
    <w:rsid w:val="004219F0"/>
    <w:pPr>
      <w:tabs>
        <w:tab w:val="left" w:pos="357"/>
      </w:tabs>
      <w:spacing w:before="360"/>
      <w:ind w:left="357" w:hanging="357"/>
      <w:outlineLvl w:val="1"/>
    </w:pPr>
    <w:rPr>
      <w:sz w:val="24"/>
    </w:rPr>
  </w:style>
  <w:style w:type="paragraph" w:customStyle="1" w:styleId="JuHHead">
    <w:name w:val="Ju_H_Head"/>
    <w:basedOn w:val="NormalTimesNewRoman"/>
    <w:next w:val="JuPara"/>
    <w:rsid w:val="004219F0"/>
    <w:pPr>
      <w:keepNext/>
      <w:keepLines/>
      <w:spacing w:before="720" w:after="240"/>
      <w:jc w:val="both"/>
      <w:outlineLvl w:val="0"/>
    </w:pPr>
    <w:rPr>
      <w:sz w:val="28"/>
    </w:rPr>
  </w:style>
  <w:style w:type="character" w:customStyle="1" w:styleId="DefaultTimesNewRoman">
    <w:name w:val="Default_TimesNewRoman"/>
    <w:rsid w:val="004219F0"/>
    <w:rPr>
      <w:rFonts w:ascii="Times New Roman" w:hAnsi="Times New Roman" w:cs="Times New Roman"/>
    </w:rPr>
  </w:style>
  <w:style w:type="paragraph" w:customStyle="1" w:styleId="JuPara">
    <w:name w:val="Ju_Para"/>
    <w:aliases w:val="Left,First line:  0 cm"/>
    <w:basedOn w:val="NormalTimesNewRoman"/>
    <w:link w:val="JuParaCar"/>
    <w:rsid w:val="004219F0"/>
    <w:pPr>
      <w:ind w:firstLine="284"/>
      <w:jc w:val="both"/>
    </w:pPr>
  </w:style>
  <w:style w:type="character" w:customStyle="1" w:styleId="JuParaCar">
    <w:name w:val="Ju_Para Car"/>
    <w:link w:val="JuPara"/>
    <w:rsid w:val="009D29DE"/>
    <w:rPr>
      <w:sz w:val="24"/>
      <w:lang w:val="fr-FR" w:eastAsia="fr-FR" w:bidi="ar-SA"/>
    </w:rPr>
  </w:style>
  <w:style w:type="character" w:customStyle="1" w:styleId="JuHIRomanChar">
    <w:name w:val="Ju_H_I_Roman Char"/>
    <w:link w:val="JuHIRoman"/>
    <w:rsid w:val="00D31210"/>
    <w:rPr>
      <w:sz w:val="24"/>
      <w:lang w:val="fr-FR" w:eastAsia="fr-FR" w:bidi="ar-SA"/>
    </w:rPr>
  </w:style>
  <w:style w:type="paragraph" w:customStyle="1" w:styleId="OpiPara">
    <w:name w:val="Opi_Para"/>
    <w:basedOn w:val="JuPara"/>
    <w:rsid w:val="00A53F42"/>
  </w:style>
  <w:style w:type="paragraph" w:customStyle="1" w:styleId="OpiH1">
    <w:name w:val="Opi_H_1."/>
    <w:basedOn w:val="OpiHA"/>
    <w:next w:val="OpiPara"/>
    <w:rsid w:val="00A53F42"/>
    <w:pPr>
      <w:spacing w:before="240" w:after="120"/>
      <w:ind w:left="635"/>
      <w:outlineLvl w:val="2"/>
    </w:pPr>
    <w:rPr>
      <w:b w:val="0"/>
      <w:i/>
    </w:rPr>
  </w:style>
  <w:style w:type="paragraph" w:customStyle="1" w:styleId="OpiHa0">
    <w:name w:val="Opi_H_a"/>
    <w:basedOn w:val="OpiH1"/>
    <w:next w:val="OpiPara"/>
    <w:rsid w:val="00A53F42"/>
    <w:pPr>
      <w:ind w:left="833"/>
      <w:outlineLvl w:val="3"/>
    </w:pPr>
    <w:rPr>
      <w:b/>
      <w:i w:val="0"/>
      <w:sz w:val="20"/>
    </w:rPr>
  </w:style>
  <w:style w:type="paragraph" w:customStyle="1" w:styleId="OpiHHead">
    <w:name w:val="Opi_H_Head"/>
    <w:basedOn w:val="JuHHead"/>
    <w:next w:val="OpiPara"/>
    <w:rsid w:val="00A53F42"/>
    <w:pPr>
      <w:spacing w:before="0"/>
      <w:jc w:val="center"/>
    </w:pPr>
  </w:style>
  <w:style w:type="paragraph" w:customStyle="1" w:styleId="OpiHi">
    <w:name w:val="Opi_H_i"/>
    <w:basedOn w:val="OpiHa0"/>
    <w:next w:val="OpiPara"/>
    <w:rsid w:val="00A53F42"/>
    <w:pPr>
      <w:ind w:left="1037"/>
      <w:outlineLvl w:val="4"/>
    </w:pPr>
    <w:rPr>
      <w:b w:val="0"/>
      <w:i/>
    </w:rPr>
  </w:style>
  <w:style w:type="paragraph" w:styleId="Footer">
    <w:name w:val="footer"/>
    <w:basedOn w:val="Normal"/>
    <w:rsid w:val="004219F0"/>
    <w:pPr>
      <w:tabs>
        <w:tab w:val="center" w:pos="3686"/>
        <w:tab w:val="right" w:pos="7371"/>
      </w:tabs>
    </w:pPr>
    <w:rPr>
      <w:sz w:val="18"/>
    </w:rPr>
  </w:style>
  <w:style w:type="paragraph" w:customStyle="1" w:styleId="JuJudges">
    <w:name w:val="Ju_Judges"/>
    <w:basedOn w:val="NormalTimesNewRoman"/>
    <w:link w:val="JuJudgesChar"/>
    <w:rsid w:val="004219F0"/>
    <w:pPr>
      <w:tabs>
        <w:tab w:val="left" w:pos="567"/>
        <w:tab w:val="left" w:pos="1134"/>
      </w:tabs>
    </w:pPr>
  </w:style>
  <w:style w:type="character" w:customStyle="1" w:styleId="JuJudgesChar">
    <w:name w:val="Ju_Judges Char"/>
    <w:link w:val="JuJudges"/>
    <w:rsid w:val="00287191"/>
    <w:rPr>
      <w:sz w:val="24"/>
      <w:lang w:val="fr-FR" w:eastAsia="fr-FR" w:bidi="ar-SA"/>
    </w:rPr>
  </w:style>
  <w:style w:type="character" w:styleId="Strong">
    <w:name w:val="Strong"/>
    <w:qFormat/>
    <w:rsid w:val="00973C75"/>
    <w:rPr>
      <w:b/>
      <w:bCs/>
    </w:rPr>
  </w:style>
  <w:style w:type="paragraph" w:customStyle="1" w:styleId="JuHA">
    <w:name w:val="Ju_H_A"/>
    <w:basedOn w:val="JuHIRoman"/>
    <w:next w:val="JuPara"/>
    <w:rsid w:val="004219F0"/>
    <w:pPr>
      <w:tabs>
        <w:tab w:val="clear" w:pos="357"/>
        <w:tab w:val="left" w:pos="584"/>
      </w:tabs>
      <w:ind w:left="584" w:hanging="352"/>
      <w:outlineLvl w:val="2"/>
    </w:pPr>
    <w:rPr>
      <w:b/>
    </w:rPr>
  </w:style>
  <w:style w:type="paragraph" w:customStyle="1" w:styleId="JuQuot">
    <w:name w:val="Ju_Quot"/>
    <w:basedOn w:val="JuPara"/>
    <w:link w:val="JuQuotChar"/>
    <w:rsid w:val="004219F0"/>
    <w:pPr>
      <w:spacing w:before="120" w:after="120"/>
      <w:ind w:left="425" w:firstLine="142"/>
    </w:pPr>
    <w:rPr>
      <w:sz w:val="20"/>
    </w:rPr>
  </w:style>
  <w:style w:type="paragraph" w:customStyle="1" w:styleId="JuSigned">
    <w:name w:val="Ju_Signed"/>
    <w:basedOn w:val="NormalTimesNewRoman"/>
    <w:next w:val="JuParaLast"/>
    <w:rsid w:val="004219F0"/>
    <w:pPr>
      <w:tabs>
        <w:tab w:val="center" w:pos="851"/>
        <w:tab w:val="center" w:pos="6407"/>
      </w:tabs>
      <w:spacing w:before="720"/>
    </w:pPr>
  </w:style>
  <w:style w:type="paragraph" w:customStyle="1" w:styleId="JuParaLast">
    <w:name w:val="Ju_Para_Last"/>
    <w:basedOn w:val="JuPara"/>
    <w:next w:val="JuPara"/>
    <w:rsid w:val="004219F0"/>
    <w:pPr>
      <w:keepNext/>
      <w:keepLines/>
      <w:spacing w:before="240"/>
    </w:pPr>
  </w:style>
  <w:style w:type="paragraph" w:customStyle="1" w:styleId="JuCase">
    <w:name w:val="Ju_Case"/>
    <w:basedOn w:val="JuPara"/>
    <w:next w:val="JuPara"/>
    <w:rsid w:val="004219F0"/>
    <w:rPr>
      <w:b/>
    </w:rPr>
  </w:style>
  <w:style w:type="paragraph" w:customStyle="1" w:styleId="JuList">
    <w:name w:val="Ju_List"/>
    <w:basedOn w:val="JuPara"/>
    <w:rsid w:val="004219F0"/>
    <w:pPr>
      <w:ind w:left="340" w:hanging="340"/>
    </w:pPr>
  </w:style>
  <w:style w:type="paragraph" w:customStyle="1" w:styleId="JuHArticle">
    <w:name w:val="Ju_H_Article"/>
    <w:basedOn w:val="JuHa0"/>
    <w:next w:val="JuQuot"/>
    <w:link w:val="JuHArticleChar"/>
    <w:rsid w:val="004219F0"/>
    <w:pPr>
      <w:ind w:left="0" w:firstLine="0"/>
      <w:jc w:val="center"/>
    </w:pPr>
  </w:style>
  <w:style w:type="paragraph" w:customStyle="1" w:styleId="JuHa0">
    <w:name w:val="Ju_H_a"/>
    <w:basedOn w:val="JuH1"/>
    <w:next w:val="JuPara"/>
    <w:rsid w:val="004219F0"/>
    <w:pPr>
      <w:tabs>
        <w:tab w:val="clear" w:pos="731"/>
        <w:tab w:val="left" w:pos="975"/>
      </w:tabs>
      <w:ind w:left="975" w:hanging="340"/>
      <w:outlineLvl w:val="4"/>
    </w:pPr>
    <w:rPr>
      <w:b/>
      <w:i w:val="0"/>
      <w:sz w:val="20"/>
    </w:rPr>
  </w:style>
  <w:style w:type="paragraph" w:customStyle="1" w:styleId="JuH1">
    <w:name w:val="Ju_H_1."/>
    <w:basedOn w:val="JuHA"/>
    <w:next w:val="JuPara"/>
    <w:rsid w:val="004219F0"/>
    <w:pPr>
      <w:tabs>
        <w:tab w:val="clear" w:pos="584"/>
        <w:tab w:val="left" w:pos="731"/>
      </w:tabs>
      <w:spacing w:before="240" w:after="120"/>
      <w:ind w:left="732" w:hanging="301"/>
      <w:outlineLvl w:val="3"/>
    </w:pPr>
    <w:rPr>
      <w:b w:val="0"/>
      <w:i/>
    </w:rPr>
  </w:style>
  <w:style w:type="paragraph" w:customStyle="1" w:styleId="JuCourt">
    <w:name w:val="Ju_Court"/>
    <w:basedOn w:val="JuJudges"/>
    <w:rsid w:val="004219F0"/>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A53F42"/>
  </w:style>
  <w:style w:type="paragraph" w:customStyle="1" w:styleId="OpiTranslation">
    <w:name w:val="Opi_Translation"/>
    <w:basedOn w:val="OpiHHead"/>
    <w:next w:val="OpiPara"/>
    <w:rsid w:val="00A53F42"/>
    <w:rPr>
      <w:i/>
      <w:sz w:val="24"/>
    </w:rPr>
  </w:style>
  <w:style w:type="paragraph" w:styleId="FootnoteText">
    <w:name w:val="footnote text"/>
    <w:basedOn w:val="Normal"/>
    <w:semiHidden/>
    <w:rsid w:val="004219F0"/>
    <w:pPr>
      <w:jc w:val="both"/>
    </w:pPr>
    <w:rPr>
      <w:sz w:val="20"/>
    </w:rPr>
  </w:style>
  <w:style w:type="character" w:styleId="FootnoteReference">
    <w:name w:val="footnote reference"/>
    <w:semiHidden/>
    <w:rsid w:val="004219F0"/>
    <w:rPr>
      <w:rFonts w:ascii="Times New Roman" w:hAnsi="Times New Roman" w:cs="Times New Roman"/>
      <w:vertAlign w:val="superscript"/>
    </w:rPr>
  </w:style>
  <w:style w:type="paragraph" w:customStyle="1" w:styleId="JuHi">
    <w:name w:val="Ju_H_i"/>
    <w:basedOn w:val="JuHa0"/>
    <w:next w:val="JuPara"/>
    <w:rsid w:val="004219F0"/>
    <w:pPr>
      <w:tabs>
        <w:tab w:val="clear" w:pos="975"/>
        <w:tab w:val="left" w:pos="1191"/>
      </w:tabs>
      <w:ind w:left="1190" w:hanging="357"/>
      <w:outlineLvl w:val="5"/>
    </w:pPr>
    <w:rPr>
      <w:b w:val="0"/>
      <w:i/>
    </w:rPr>
  </w:style>
  <w:style w:type="paragraph" w:styleId="Header">
    <w:name w:val="header"/>
    <w:basedOn w:val="Normal"/>
    <w:rsid w:val="004219F0"/>
    <w:pPr>
      <w:tabs>
        <w:tab w:val="center" w:pos="3686"/>
        <w:tab w:val="right" w:pos="7371"/>
      </w:tabs>
    </w:pPr>
    <w:rPr>
      <w:sz w:val="18"/>
    </w:rPr>
  </w:style>
  <w:style w:type="character" w:styleId="PageNumber">
    <w:name w:val="page number"/>
    <w:rsid w:val="004219F0"/>
    <w:rPr>
      <w:rFonts w:ascii="Times New Roman" w:hAnsi="Times New Roman" w:cs="Times New Roman"/>
      <w:sz w:val="18"/>
    </w:rPr>
  </w:style>
  <w:style w:type="paragraph" w:customStyle="1" w:styleId="JuH">
    <w:name w:val="Ju_H_–"/>
    <w:basedOn w:val="JuHalpha"/>
    <w:next w:val="JuPara"/>
    <w:rsid w:val="004219F0"/>
    <w:pPr>
      <w:tabs>
        <w:tab w:val="clear" w:pos="1372"/>
      </w:tabs>
      <w:ind w:left="1236" w:firstLine="0"/>
    </w:pPr>
    <w:rPr>
      <w:i/>
    </w:rPr>
  </w:style>
  <w:style w:type="paragraph" w:customStyle="1" w:styleId="JuHalpha">
    <w:name w:val="Ju_H_alpha"/>
    <w:basedOn w:val="JuHi"/>
    <w:next w:val="JuPara"/>
    <w:rsid w:val="004219F0"/>
    <w:pPr>
      <w:tabs>
        <w:tab w:val="clear" w:pos="1191"/>
        <w:tab w:val="left" w:pos="1372"/>
      </w:tabs>
      <w:ind w:left="1373" w:hanging="335"/>
      <w:outlineLvl w:val="9"/>
    </w:pPr>
    <w:rPr>
      <w:i w:val="0"/>
    </w:rPr>
  </w:style>
  <w:style w:type="paragraph" w:customStyle="1" w:styleId="JuLista">
    <w:name w:val="Ju_List_a"/>
    <w:basedOn w:val="JuList"/>
    <w:rsid w:val="004219F0"/>
    <w:pPr>
      <w:ind w:left="346" w:firstLine="0"/>
    </w:pPr>
  </w:style>
  <w:style w:type="paragraph" w:customStyle="1" w:styleId="JuListi">
    <w:name w:val="Ju_List_i"/>
    <w:basedOn w:val="JuLista"/>
    <w:rsid w:val="004219F0"/>
    <w:pPr>
      <w:ind w:left="794"/>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JuInitialled">
    <w:name w:val="Ju_Initialled"/>
    <w:basedOn w:val="JuSigned"/>
    <w:rsid w:val="004219F0"/>
    <w:pPr>
      <w:tabs>
        <w:tab w:val="clear" w:pos="851"/>
      </w:tabs>
      <w:jc w:val="right"/>
    </w:pPr>
  </w:style>
  <w:style w:type="paragraph" w:customStyle="1" w:styleId="JuHeader">
    <w:name w:val="Ju_Header"/>
    <w:basedOn w:val="Header"/>
    <w:rsid w:val="004219F0"/>
  </w:style>
  <w:style w:type="paragraph" w:customStyle="1" w:styleId="DecHTitle">
    <w:name w:val="Dec_H_Title"/>
    <w:basedOn w:val="Normal"/>
    <w:rsid w:val="00184E3A"/>
    <w:pPr>
      <w:spacing w:after="240"/>
      <w:jc w:val="center"/>
      <w:outlineLvl w:val="0"/>
    </w:pPr>
    <w:rPr>
      <w:sz w:val="28"/>
    </w:rPr>
  </w:style>
  <w:style w:type="paragraph" w:customStyle="1" w:styleId="DecHCase">
    <w:name w:val="Dec_H_Case"/>
    <w:basedOn w:val="DecHTitle"/>
    <w:next w:val="JuPara"/>
    <w:rsid w:val="00A53F42"/>
    <w:rPr>
      <w:sz w:val="24"/>
    </w:rPr>
  </w:style>
  <w:style w:type="paragraph" w:customStyle="1" w:styleId="DecList">
    <w:name w:val="Dec_List"/>
    <w:basedOn w:val="Normal"/>
    <w:rsid w:val="00184E3A"/>
    <w:pPr>
      <w:spacing w:before="240"/>
      <w:ind w:left="284"/>
      <w:jc w:val="both"/>
    </w:pPr>
  </w:style>
  <w:style w:type="paragraph" w:customStyle="1" w:styleId="SuCoverTitle1">
    <w:name w:val="Su_Cover_Title1"/>
    <w:basedOn w:val="Normal"/>
    <w:next w:val="SuCoverTitle2"/>
    <w:rsid w:val="00184E3A"/>
    <w:pPr>
      <w:spacing w:before="2500"/>
      <w:jc w:val="center"/>
    </w:pPr>
    <w:rPr>
      <w:sz w:val="22"/>
    </w:rPr>
  </w:style>
  <w:style w:type="paragraph" w:customStyle="1" w:styleId="SuCoverTitle2">
    <w:name w:val="Su_Cover_Title2"/>
    <w:basedOn w:val="SuCoverTitle1"/>
    <w:next w:val="Normal"/>
    <w:rsid w:val="00387F24"/>
    <w:pPr>
      <w:spacing w:before="240"/>
    </w:pPr>
    <w:rPr>
      <w:sz w:val="18"/>
    </w:rPr>
  </w:style>
  <w:style w:type="paragraph" w:customStyle="1" w:styleId="JuQuotSub">
    <w:name w:val="Ju_Quot_Sub"/>
    <w:basedOn w:val="JuQuot"/>
    <w:rsid w:val="004219F0"/>
    <w:pPr>
      <w:ind w:left="567"/>
    </w:pPr>
  </w:style>
  <w:style w:type="paragraph" w:customStyle="1" w:styleId="JuParaSub">
    <w:name w:val="Ju_Para_Sub"/>
    <w:basedOn w:val="JuPara"/>
    <w:rsid w:val="004219F0"/>
    <w:pPr>
      <w:ind w:left="284"/>
    </w:pPr>
  </w:style>
  <w:style w:type="paragraph" w:customStyle="1" w:styleId="SuPara">
    <w:name w:val="Su_Para"/>
    <w:basedOn w:val="SuKeywords"/>
    <w:rsid w:val="00387F24"/>
    <w:pPr>
      <w:spacing w:before="0" w:after="0"/>
    </w:pPr>
    <w:rPr>
      <w:i w:val="0"/>
    </w:rPr>
  </w:style>
  <w:style w:type="paragraph" w:customStyle="1" w:styleId="SuKeywords">
    <w:name w:val="Su_Keywords"/>
    <w:basedOn w:val="SuHHead"/>
    <w:rsid w:val="00387F24"/>
    <w:pPr>
      <w:spacing w:before="120"/>
    </w:pPr>
    <w:rPr>
      <w:b w:val="0"/>
      <w:i/>
    </w:rPr>
  </w:style>
  <w:style w:type="paragraph" w:customStyle="1" w:styleId="SuHHead">
    <w:name w:val="Su_H_Head"/>
    <w:basedOn w:val="SuSubject"/>
    <w:rsid w:val="00387F24"/>
    <w:pPr>
      <w:spacing w:after="120"/>
    </w:pPr>
  </w:style>
  <w:style w:type="paragraph" w:customStyle="1" w:styleId="SuSubject">
    <w:name w:val="Su_Subject"/>
    <w:basedOn w:val="SuSummary"/>
    <w:rsid w:val="00387F24"/>
    <w:pPr>
      <w:suppressAutoHyphens w:val="0"/>
      <w:spacing w:before="360"/>
      <w:jc w:val="both"/>
    </w:pPr>
    <w:rPr>
      <w:b/>
      <w:sz w:val="22"/>
      <w:lang w:val="en-GB"/>
    </w:rPr>
  </w:style>
  <w:style w:type="paragraph" w:customStyle="1" w:styleId="SuSummary">
    <w:name w:val="Su_Summary"/>
    <w:basedOn w:val="Normal"/>
    <w:next w:val="SuSubject"/>
    <w:rsid w:val="00184E3A"/>
    <w:pPr>
      <w:spacing w:after="240"/>
      <w:jc w:val="center"/>
    </w:pPr>
  </w:style>
  <w:style w:type="paragraph" w:styleId="BalloonText">
    <w:name w:val="Balloon Text"/>
    <w:basedOn w:val="Normal"/>
    <w:semiHidden/>
    <w:rsid w:val="00EC6427"/>
    <w:rPr>
      <w:rFonts w:ascii="Tahoma" w:hAnsi="Tahoma" w:cs="Tahoma"/>
      <w:sz w:val="16"/>
      <w:szCs w:val="16"/>
    </w:rPr>
  </w:style>
  <w:style w:type="character" w:styleId="Hyperlink">
    <w:name w:val="Hyperlink"/>
    <w:rsid w:val="004219F0"/>
    <w:rPr>
      <w:rFonts w:ascii="Times New Roman" w:hAnsi="Times New Roman" w:cs="Times New Roman"/>
      <w:color w:val="0000FF"/>
      <w:u w:val="single"/>
    </w:rPr>
  </w:style>
  <w:style w:type="character" w:styleId="EndnoteReference">
    <w:name w:val="endnote reference"/>
    <w:semiHidden/>
    <w:rsid w:val="004219F0"/>
    <w:rPr>
      <w:rFonts w:ascii="Times New Roman" w:hAnsi="Times New Roman" w:cs="Times New Roman"/>
      <w:vertAlign w:val="superscript"/>
    </w:rPr>
  </w:style>
  <w:style w:type="paragraph" w:styleId="EndnoteText">
    <w:name w:val="endnote text"/>
    <w:basedOn w:val="Normal"/>
    <w:semiHidden/>
    <w:rsid w:val="004219F0"/>
    <w:rPr>
      <w:sz w:val="20"/>
    </w:rPr>
  </w:style>
  <w:style w:type="character" w:styleId="FollowedHyperlink">
    <w:name w:val="FollowedHyperlink"/>
    <w:rsid w:val="004219F0"/>
    <w:rPr>
      <w:rFonts w:ascii="Times New Roman" w:hAnsi="Times New Roman" w:cs="Times New Roman"/>
      <w:color w:val="800080"/>
      <w:u w:val="single"/>
    </w:rPr>
  </w:style>
  <w:style w:type="paragraph" w:customStyle="1" w:styleId="JuAppQuestion">
    <w:name w:val="Ju_App_Question"/>
    <w:basedOn w:val="ListBullet"/>
    <w:rsid w:val="004219F0"/>
    <w:pPr>
      <w:numPr>
        <w:numId w:val="4"/>
      </w:numPr>
      <w:suppressAutoHyphens w:val="0"/>
    </w:pPr>
    <w:rPr>
      <w:b/>
      <w:color w:val="333333"/>
      <w:lang w:val="en-GB"/>
    </w:rPr>
  </w:style>
  <w:style w:type="paragraph" w:styleId="ListBullet">
    <w:name w:val="List Bullet"/>
    <w:basedOn w:val="Normal"/>
    <w:rsid w:val="00387F24"/>
    <w:pPr>
      <w:numPr>
        <w:numId w:val="1"/>
      </w:numPr>
    </w:pPr>
  </w:style>
  <w:style w:type="character" w:customStyle="1" w:styleId="JuNames">
    <w:name w:val="Ju_Names"/>
    <w:rsid w:val="004219F0"/>
    <w:rPr>
      <w:rFonts w:ascii="Times New Roman" w:hAnsi="Times New Roman" w:cs="Times New Roman"/>
      <w:smallCaps/>
    </w:rPr>
  </w:style>
  <w:style w:type="paragraph" w:customStyle="1" w:styleId="OpiParaSub">
    <w:name w:val="Opi_Para_Sub"/>
    <w:basedOn w:val="JuParaSub"/>
    <w:rsid w:val="00A53F42"/>
  </w:style>
  <w:style w:type="paragraph" w:customStyle="1" w:styleId="OpiQuotSub">
    <w:name w:val="Opi_Quot_Sub"/>
    <w:basedOn w:val="JuQuotSub"/>
    <w:rsid w:val="00A53F42"/>
  </w:style>
  <w:style w:type="paragraph" w:styleId="CommentSubject">
    <w:name w:val="annotation subject"/>
    <w:basedOn w:val="CommentText"/>
    <w:next w:val="CommentText"/>
    <w:semiHidden/>
    <w:rsid w:val="00E27B15"/>
    <w:rPr>
      <w:b/>
      <w:bCs/>
    </w:rPr>
  </w:style>
  <w:style w:type="paragraph" w:styleId="DocumentMap">
    <w:name w:val="Document Map"/>
    <w:basedOn w:val="Normal"/>
    <w:semiHidden/>
    <w:rsid w:val="00B33C50"/>
    <w:pPr>
      <w:shd w:val="clear" w:color="auto" w:fill="000080"/>
    </w:pPr>
    <w:rPr>
      <w:rFonts w:ascii="Tahoma" w:hAnsi="Tahoma" w:cs="Tahoma"/>
      <w:sz w:val="20"/>
    </w:rPr>
  </w:style>
  <w:style w:type="paragraph" w:customStyle="1" w:styleId="NormalTimesNewRoman">
    <w:name w:val="Normal_TimesNewRoman"/>
    <w:rsid w:val="004219F0"/>
    <w:rPr>
      <w:sz w:val="24"/>
      <w:lang w:val="fr-FR" w:eastAsia="fr-FR"/>
    </w:rPr>
  </w:style>
  <w:style w:type="character" w:customStyle="1" w:styleId="JuITMark">
    <w:name w:val="Ju_ITMark"/>
    <w:rsid w:val="004219F0"/>
    <w:rPr>
      <w:rFonts w:ascii="Times New Roman" w:hAnsi="Times New Roman" w:cs="Times New Roman"/>
      <w:vanish/>
      <w:color w:val="339966"/>
      <w:sz w:val="16"/>
      <w:szCs w:val="16"/>
      <w:lang w:val="fi-FI"/>
    </w:rPr>
  </w:style>
  <w:style w:type="paragraph" w:customStyle="1" w:styleId="JuTitle">
    <w:name w:val="Ju_Title"/>
    <w:basedOn w:val="JuHHead"/>
    <w:next w:val="JuPara"/>
    <w:rsid w:val="004219F0"/>
    <w:pPr>
      <w:jc w:val="center"/>
    </w:pPr>
    <w:rPr>
      <w:b/>
      <w:caps/>
      <w:sz w:val="24"/>
      <w:szCs w:val="24"/>
      <w:u w:val="single"/>
    </w:rPr>
  </w:style>
  <w:style w:type="character" w:customStyle="1" w:styleId="JuParaChar">
    <w:name w:val="Ju_Para Char"/>
    <w:locked/>
    <w:rsid w:val="00C27BF2"/>
    <w:rPr>
      <w:sz w:val="24"/>
      <w:lang w:val="en-GB" w:eastAsia="fr-FR" w:bidi="ar-SA"/>
    </w:rPr>
  </w:style>
  <w:style w:type="character" w:customStyle="1" w:styleId="JuQuotChar">
    <w:name w:val="Ju_Quot Char"/>
    <w:link w:val="JuQuot"/>
    <w:rsid w:val="00335173"/>
    <w:rPr>
      <w:lang w:val="fr-FR" w:eastAsia="fr-FR" w:bidi="ar-SA"/>
    </w:rPr>
  </w:style>
  <w:style w:type="character" w:customStyle="1" w:styleId="ju-005fpara--char">
    <w:name w:val="ju-005fpara--char"/>
    <w:basedOn w:val="DefaultParagraphFont"/>
    <w:rsid w:val="00AC76D5"/>
  </w:style>
  <w:style w:type="character" w:customStyle="1" w:styleId="JuHArticleChar">
    <w:name w:val="Ju_H_Article Char"/>
    <w:link w:val="JuHArticle"/>
    <w:rsid w:val="00AC76D5"/>
    <w:rPr>
      <w:b/>
      <w:lang w:val="fr-FR" w:eastAsia="fr-FR" w:bidi="ar-SA"/>
    </w:rPr>
  </w:style>
  <w:style w:type="character" w:customStyle="1" w:styleId="sb8d990e2">
    <w:name w:val="sb8d990e2"/>
    <w:basedOn w:val="DefaultParagraphFont"/>
    <w:rsid w:val="000D726C"/>
  </w:style>
  <w:style w:type="character" w:customStyle="1" w:styleId="sea881cdf">
    <w:name w:val="sea881cdf"/>
    <w:basedOn w:val="DefaultParagraphFont"/>
    <w:rsid w:val="000D726C"/>
  </w:style>
  <w:style w:type="character" w:customStyle="1" w:styleId="s6b621b36">
    <w:name w:val="s6b621b36"/>
    <w:basedOn w:val="DefaultParagraphFont"/>
    <w:rsid w:val="000D726C"/>
  </w:style>
  <w:style w:type="character" w:customStyle="1" w:styleId="s7d2086b4">
    <w:name w:val="s7d2086b4"/>
    <w:basedOn w:val="DefaultParagraphFont"/>
    <w:rsid w:val="000D726C"/>
  </w:style>
  <w:style w:type="paragraph" w:customStyle="1" w:styleId="Default">
    <w:name w:val="Default"/>
    <w:rsid w:val="001C78F1"/>
    <w:pPr>
      <w:autoSpaceDE w:val="0"/>
      <w:autoSpaceDN w:val="0"/>
      <w:adjustRightInd w:val="0"/>
    </w:pPr>
    <w:rPr>
      <w:color w:val="000000"/>
      <w:sz w:val="24"/>
      <w:szCs w:val="24"/>
      <w:lang w:val="en-GB" w:eastAsia="en-GB"/>
    </w:rPr>
  </w:style>
  <w:style w:type="character" w:customStyle="1" w:styleId="ju--005fpara----char--char">
    <w:name w:val="ju--005fpara----char--char"/>
    <w:rsid w:val="00DB576D"/>
    <w:rPr>
      <w:rFonts w:cs="Times New Roman"/>
    </w:rPr>
  </w:style>
  <w:style w:type="character" w:customStyle="1" w:styleId="ju-005fpara-002cleft-002cfirst-0020line-003a-0020-00200-0020cm--char">
    <w:name w:val="ju-005fpara-002cleft-002cfirst-0020line-003a-0020-00200-0020cm--char"/>
    <w:rsid w:val="00DB576D"/>
    <w:rPr>
      <w:rFonts w:cs="Times New Roman"/>
    </w:rPr>
  </w:style>
  <w:style w:type="paragraph" w:customStyle="1" w:styleId="jupara0">
    <w:name w:val="jupara"/>
    <w:basedOn w:val="Normal"/>
    <w:rsid w:val="008615F7"/>
    <w:pPr>
      <w:suppressAutoHyphens w:val="0"/>
      <w:ind w:firstLine="284"/>
      <w:jc w:val="both"/>
    </w:pPr>
    <w:rPr>
      <w:szCs w:val="24"/>
      <w:lang w:val="en-GB" w:eastAsia="en-GB"/>
    </w:rPr>
  </w:style>
  <w:style w:type="paragraph" w:customStyle="1" w:styleId="jucase0">
    <w:name w:val="jucase"/>
    <w:basedOn w:val="Normal"/>
    <w:rsid w:val="008615F7"/>
    <w:pPr>
      <w:suppressAutoHyphens w:val="0"/>
      <w:ind w:firstLine="284"/>
      <w:jc w:val="both"/>
    </w:pPr>
    <w:rPr>
      <w:b/>
      <w:bCs/>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099293">
      <w:bodyDiv w:val="1"/>
      <w:marLeft w:val="0"/>
      <w:marRight w:val="0"/>
      <w:marTop w:val="0"/>
      <w:marBottom w:val="0"/>
      <w:divBdr>
        <w:top w:val="none" w:sz="0" w:space="0" w:color="auto"/>
        <w:left w:val="none" w:sz="0" w:space="0" w:color="auto"/>
        <w:bottom w:val="none" w:sz="0" w:space="0" w:color="auto"/>
        <w:right w:val="none" w:sz="0" w:space="0" w:color="auto"/>
      </w:divBdr>
    </w:div>
    <w:div w:id="168232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69213-5AD4-47CE-8F75-D1A12A6B8341}">
  <ds:schemaRefs>
    <ds:schemaRef ds:uri="http://schemas.microsoft.com/sharepoint/v3/contenttype/forms"/>
  </ds:schemaRefs>
</ds:datastoreItem>
</file>

<file path=customXml/itemProps2.xml><?xml version="1.0" encoding="utf-8"?>
<ds:datastoreItem xmlns:ds="http://schemas.openxmlformats.org/officeDocument/2006/customXml" ds:itemID="{04748D9A-E0D3-4DB2-A5F5-7BA43D1F6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3FA52A-172C-434B-98F8-7D8164EC8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10329</Words>
  <Characters>58880</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69071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keywords/>
  <cp:lastModifiedBy/>
  <cp:revision>2</cp:revision>
  <cp:lastPrinted>2013-05-15T06:19:00Z</cp:lastPrinted>
  <dcterms:created xsi:type="dcterms:W3CDTF">2013-09-26T12:53:00Z</dcterms:created>
  <dcterms:modified xsi:type="dcterms:W3CDTF">2013-09-26T12:53:00Z</dcterms:modified>
  <cp:category>ECHR Template</cp:category>
</cp:coreProperties>
</file>