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70" w:rsidRDefault="00630D70">
      <w:pPr>
        <w:jc w:val="center"/>
        <w:rPr>
          <w:lang w:val="fr-FR"/>
        </w:rPr>
      </w:pPr>
    </w:p>
    <w:p w:rsidR="00630D70" w:rsidRDefault="00630D70">
      <w:pPr>
        <w:jc w:val="center"/>
        <w:rPr>
          <w:lang w:val="fr-FR"/>
        </w:rPr>
      </w:pPr>
    </w:p>
    <w:p w:rsidR="00CD49A7" w:rsidRPr="0074183E" w:rsidRDefault="00CD49A7">
      <w:pPr>
        <w:jc w:val="center"/>
        <w:rPr>
          <w:lang w:val="fr-FR"/>
        </w:rPr>
      </w:pPr>
    </w:p>
    <w:p w:rsidR="00CD49A7" w:rsidRPr="00627CB0" w:rsidRDefault="00627CB0">
      <w:pPr>
        <w:jc w:val="center"/>
      </w:pPr>
      <w:r w:rsidRPr="00627CB0">
        <w:t>FIRST SECTION</w:t>
      </w:r>
    </w:p>
    <w:p w:rsidR="00630D70" w:rsidRDefault="00630D70">
      <w:pPr>
        <w:jc w:val="center"/>
      </w:pPr>
    </w:p>
    <w:p w:rsidR="00630D70" w:rsidRDefault="00630D70">
      <w:pPr>
        <w:jc w:val="center"/>
      </w:pPr>
    </w:p>
    <w:p w:rsidR="00630D70" w:rsidRDefault="00630D70">
      <w:pPr>
        <w:jc w:val="center"/>
      </w:pPr>
    </w:p>
    <w:p w:rsidR="00630D70" w:rsidRDefault="00630D70">
      <w:pPr>
        <w:jc w:val="center"/>
      </w:pPr>
    </w:p>
    <w:p w:rsidR="00630D70" w:rsidRDefault="00630D70">
      <w:pPr>
        <w:jc w:val="center"/>
      </w:pPr>
    </w:p>
    <w:p w:rsidR="00CD49A7" w:rsidRPr="00627CB0" w:rsidRDefault="00CD49A7">
      <w:pPr>
        <w:jc w:val="center"/>
      </w:pPr>
    </w:p>
    <w:p w:rsidR="00CD49A7" w:rsidRPr="00627CB0" w:rsidRDefault="00CD49A7">
      <w:pPr>
        <w:jc w:val="center"/>
        <w:rPr>
          <w:b/>
        </w:rPr>
      </w:pPr>
      <w:r w:rsidRPr="00627CB0">
        <w:rPr>
          <w:b/>
        </w:rPr>
        <w:t xml:space="preserve">CASE OF </w:t>
      </w:r>
      <w:r w:rsidR="00627CB0" w:rsidRPr="00627CB0">
        <w:rPr>
          <w:b/>
        </w:rPr>
        <w:t xml:space="preserve">STEFANOU v. </w:t>
      </w:r>
      <w:smartTag w:uri="urn:schemas-microsoft-com:office:smarttags" w:element="place">
        <w:smartTag w:uri="urn:schemas-microsoft-com:office:smarttags" w:element="country-region">
          <w:r w:rsidR="00627CB0" w:rsidRPr="00627CB0">
            <w:rPr>
              <w:b/>
            </w:rPr>
            <w:t>GREECE</w:t>
          </w:r>
        </w:smartTag>
      </w:smartTag>
    </w:p>
    <w:p w:rsidR="00CD49A7" w:rsidRPr="00627CB0" w:rsidRDefault="00CD49A7">
      <w:pPr>
        <w:jc w:val="center"/>
      </w:pPr>
    </w:p>
    <w:p w:rsidR="00CD49A7" w:rsidRPr="00627CB0" w:rsidRDefault="00CD49A7">
      <w:pPr>
        <w:jc w:val="center"/>
        <w:rPr>
          <w:i/>
        </w:rPr>
      </w:pPr>
      <w:r w:rsidRPr="00627CB0">
        <w:rPr>
          <w:i/>
        </w:rPr>
        <w:t>(</w:t>
      </w:r>
      <w:r w:rsidR="00627CB0" w:rsidRPr="00627CB0">
        <w:rPr>
          <w:i/>
        </w:rPr>
        <w:t>Application no. 2954/07</w:t>
      </w:r>
      <w:r w:rsidRPr="00627CB0">
        <w:rPr>
          <w:i/>
        </w:rPr>
        <w:t>)</w:t>
      </w:r>
    </w:p>
    <w:p w:rsidR="00630D70" w:rsidRDefault="00630D70" w:rsidP="00630D70">
      <w:pPr>
        <w:jc w:val="center"/>
        <w:rPr>
          <w:sz w:val="22"/>
          <w:szCs w:val="22"/>
        </w:rPr>
      </w:pPr>
    </w:p>
    <w:p w:rsidR="00630D70" w:rsidRDefault="00630D70" w:rsidP="00630D70">
      <w:pPr>
        <w:jc w:val="center"/>
        <w:rPr>
          <w:sz w:val="22"/>
          <w:szCs w:val="22"/>
        </w:rPr>
      </w:pPr>
    </w:p>
    <w:p w:rsidR="00630D70" w:rsidRDefault="00630D70" w:rsidP="00630D70">
      <w:pPr>
        <w:jc w:val="center"/>
        <w:rPr>
          <w:sz w:val="22"/>
          <w:szCs w:val="22"/>
        </w:rPr>
      </w:pPr>
    </w:p>
    <w:p w:rsidR="00630D70" w:rsidRDefault="00630D70" w:rsidP="00630D70">
      <w:pPr>
        <w:jc w:val="center"/>
        <w:rPr>
          <w:sz w:val="22"/>
          <w:szCs w:val="22"/>
        </w:rPr>
      </w:pPr>
    </w:p>
    <w:p w:rsidR="00630D70" w:rsidRDefault="00630D70" w:rsidP="00630D70">
      <w:pPr>
        <w:jc w:val="center"/>
        <w:rPr>
          <w:sz w:val="22"/>
          <w:szCs w:val="22"/>
        </w:rPr>
      </w:pPr>
    </w:p>
    <w:p w:rsidR="00630D70" w:rsidRDefault="00630D70" w:rsidP="00630D70">
      <w:pPr>
        <w:jc w:val="center"/>
        <w:rPr>
          <w:sz w:val="22"/>
          <w:szCs w:val="22"/>
        </w:rPr>
      </w:pPr>
    </w:p>
    <w:p w:rsidR="00630D70" w:rsidRPr="00630D70" w:rsidRDefault="00630D70" w:rsidP="00630D70">
      <w:pPr>
        <w:jc w:val="center"/>
        <w:rPr>
          <w:szCs w:val="24"/>
        </w:rPr>
      </w:pPr>
      <w:r w:rsidRPr="00630D70">
        <w:rPr>
          <w:szCs w:val="24"/>
        </w:rPr>
        <w:t>JUDGMENT</w:t>
      </w:r>
    </w:p>
    <w:p w:rsidR="00630D70" w:rsidRPr="00630D70" w:rsidRDefault="00630D70" w:rsidP="00630D70">
      <w:pPr>
        <w:jc w:val="center"/>
        <w:rPr>
          <w:szCs w:val="24"/>
        </w:rPr>
      </w:pPr>
    </w:p>
    <w:p w:rsidR="007D1B9E" w:rsidRDefault="002A4F70" w:rsidP="00630D70">
      <w:pPr>
        <w:jc w:val="center"/>
        <w:rPr>
          <w:i/>
          <w:szCs w:val="24"/>
        </w:rPr>
      </w:pPr>
      <w:r>
        <w:rPr>
          <w:i/>
          <w:szCs w:val="24"/>
        </w:rPr>
        <w:t>This version was rectified on 1 July 2010 under Rule 81 of the</w:t>
      </w:r>
    </w:p>
    <w:p w:rsidR="00630D70" w:rsidRPr="002A4F70" w:rsidRDefault="002A4F70" w:rsidP="00630D70">
      <w:pPr>
        <w:jc w:val="center"/>
        <w:rPr>
          <w:i/>
          <w:szCs w:val="24"/>
        </w:rPr>
      </w:pPr>
      <w:r w:rsidRPr="002A4F70">
        <w:rPr>
          <w:i/>
          <w:szCs w:val="24"/>
        </w:rPr>
        <w:t>Rules of Court</w:t>
      </w:r>
    </w:p>
    <w:p w:rsidR="00630D70" w:rsidRPr="00630D70" w:rsidRDefault="00630D70" w:rsidP="00630D70">
      <w:pPr>
        <w:jc w:val="center"/>
        <w:rPr>
          <w:szCs w:val="24"/>
        </w:rPr>
      </w:pPr>
    </w:p>
    <w:p w:rsidR="00630D70" w:rsidRPr="00630D70" w:rsidRDefault="00630D70" w:rsidP="00630D70">
      <w:pPr>
        <w:jc w:val="center"/>
        <w:rPr>
          <w:szCs w:val="24"/>
        </w:rPr>
      </w:pPr>
      <w:smartTag w:uri="urn:schemas-microsoft-com:office:smarttags" w:element="place">
        <w:smartTag w:uri="urn:schemas-microsoft-com:office:smarttags" w:element="City">
          <w:r w:rsidRPr="00630D70">
            <w:rPr>
              <w:szCs w:val="24"/>
            </w:rPr>
            <w:t>STRASBOURG</w:t>
          </w:r>
        </w:smartTag>
      </w:smartTag>
    </w:p>
    <w:p w:rsidR="00630D70" w:rsidRPr="00630D70" w:rsidRDefault="00630D70" w:rsidP="00630D70">
      <w:pPr>
        <w:jc w:val="center"/>
        <w:rPr>
          <w:szCs w:val="24"/>
        </w:rPr>
      </w:pPr>
    </w:p>
    <w:p w:rsidR="00630D70" w:rsidRPr="00630D70" w:rsidRDefault="00630D70" w:rsidP="00630D70">
      <w:pPr>
        <w:jc w:val="center"/>
        <w:rPr>
          <w:szCs w:val="24"/>
        </w:rPr>
      </w:pPr>
      <w:r w:rsidRPr="00630D70">
        <w:rPr>
          <w:szCs w:val="24"/>
        </w:rPr>
        <w:t>22 April 2010</w:t>
      </w:r>
    </w:p>
    <w:p w:rsidR="00630D70" w:rsidRDefault="00630D70" w:rsidP="00630D70">
      <w:pPr>
        <w:jc w:val="center"/>
        <w:rPr>
          <w:sz w:val="22"/>
          <w:szCs w:val="22"/>
        </w:rPr>
      </w:pPr>
    </w:p>
    <w:p w:rsidR="00E81900" w:rsidRDefault="00E81900" w:rsidP="00E81900">
      <w:pPr>
        <w:jc w:val="center"/>
        <w:rPr>
          <w:b/>
          <w:color w:val="FF0000"/>
          <w:szCs w:val="24"/>
          <w:u w:val="single"/>
        </w:rPr>
      </w:pPr>
      <w:bookmarkStart w:id="0" w:name="OLE_LINK1"/>
      <w:bookmarkStart w:id="1" w:name="OLE_LINK2"/>
      <w:bookmarkStart w:id="2" w:name="OLE_LINK14"/>
      <w:bookmarkStart w:id="3" w:name="OLE_LINK15"/>
      <w:bookmarkStart w:id="4" w:name="OLE_LINK34"/>
      <w:bookmarkStart w:id="5" w:name="OLE_LINK36"/>
      <w:r w:rsidRPr="008F13C5">
        <w:rPr>
          <w:b/>
          <w:color w:val="FF0000"/>
          <w:szCs w:val="24"/>
          <w:u w:val="single"/>
        </w:rPr>
        <w:t>FINAL</w:t>
      </w:r>
    </w:p>
    <w:p w:rsidR="00E81900" w:rsidRPr="008F13C5" w:rsidRDefault="00E81900" w:rsidP="00E81900">
      <w:pPr>
        <w:jc w:val="center"/>
        <w:rPr>
          <w:b/>
          <w:color w:val="FF0000"/>
          <w:szCs w:val="24"/>
          <w:u w:val="single"/>
        </w:rPr>
      </w:pPr>
    </w:p>
    <w:p w:rsidR="00E81900" w:rsidRDefault="00E81900" w:rsidP="00E81900">
      <w:pPr>
        <w:jc w:val="center"/>
        <w:rPr>
          <w:i/>
          <w:color w:val="FF0000"/>
          <w:szCs w:val="24"/>
        </w:rPr>
      </w:pPr>
      <w:r>
        <w:rPr>
          <w:i/>
          <w:color w:val="FF0000"/>
          <w:szCs w:val="24"/>
        </w:rPr>
        <w:t>04/10</w:t>
      </w:r>
      <w:r w:rsidRPr="008F13C5">
        <w:rPr>
          <w:i/>
          <w:color w:val="FF0000"/>
          <w:szCs w:val="24"/>
        </w:rPr>
        <w:t>/2010</w:t>
      </w:r>
    </w:p>
    <w:p w:rsidR="00E81900" w:rsidRDefault="00E81900" w:rsidP="00E81900">
      <w:pPr>
        <w:jc w:val="center"/>
        <w:rPr>
          <w:i/>
          <w:color w:val="FF0000"/>
          <w:szCs w:val="24"/>
        </w:rPr>
      </w:pPr>
    </w:p>
    <w:p w:rsidR="00E81900" w:rsidRPr="006540F9" w:rsidRDefault="00E81900" w:rsidP="00E81900">
      <w:pPr>
        <w:rPr>
          <w:i/>
          <w:color w:val="000000"/>
          <w:szCs w:val="24"/>
        </w:rPr>
      </w:pPr>
      <w:r w:rsidRPr="006540F9">
        <w:rPr>
          <w:i/>
          <w:color w:val="000000"/>
          <w:szCs w:val="24"/>
        </w:rPr>
        <w:t xml:space="preserve">This judgment </w:t>
      </w:r>
      <w:r>
        <w:rPr>
          <w:i/>
          <w:color w:val="000000"/>
          <w:szCs w:val="24"/>
        </w:rPr>
        <w:t>has become</w:t>
      </w:r>
      <w:r w:rsidRPr="006540F9">
        <w:rPr>
          <w:i/>
          <w:color w:val="000000"/>
          <w:szCs w:val="24"/>
        </w:rPr>
        <w:t xml:space="preserve"> final </w:t>
      </w:r>
      <w:r>
        <w:rPr>
          <w:i/>
          <w:color w:val="000000"/>
          <w:szCs w:val="24"/>
        </w:rPr>
        <w:t>under</w:t>
      </w:r>
      <w:r w:rsidRPr="006540F9">
        <w:rPr>
          <w:i/>
          <w:color w:val="000000"/>
          <w:szCs w:val="24"/>
        </w:rPr>
        <w:t xml:space="preserve"> Article 44 § 2 of the Convention. It may be subject to editorial revision.</w:t>
      </w:r>
    </w:p>
    <w:bookmarkEnd w:id="0"/>
    <w:bookmarkEnd w:id="1"/>
    <w:bookmarkEnd w:id="2"/>
    <w:bookmarkEnd w:id="3"/>
    <w:bookmarkEnd w:id="4"/>
    <w:bookmarkEnd w:id="5"/>
    <w:p w:rsidR="00630D70" w:rsidRDefault="00630D70">
      <w:pPr>
        <w:pStyle w:val="JuCase"/>
        <w:sectPr w:rsidR="00630D70" w:rsidSect="00630D70">
          <w:headerReference w:type="default" r:id="rId9"/>
          <w:footnotePr>
            <w:numRestart w:val="eachPage"/>
          </w:footnotePr>
          <w:pgSz w:w="11906" w:h="16838" w:code="9"/>
          <w:pgMar w:top="2274" w:right="2274" w:bottom="2274" w:left="2274" w:header="1701" w:footer="720" w:gutter="0"/>
          <w:pgNumType w:start="1"/>
          <w:cols w:space="720"/>
          <w:docGrid w:linePitch="78"/>
        </w:sectPr>
      </w:pPr>
    </w:p>
    <w:p w:rsidR="00CD49A7" w:rsidRPr="00627CB0" w:rsidRDefault="00CD49A7">
      <w:pPr>
        <w:pStyle w:val="JuCase"/>
      </w:pPr>
      <w:r w:rsidRPr="00627CB0">
        <w:t xml:space="preserve">In the case of </w:t>
      </w:r>
      <w:r w:rsidR="00627CB0" w:rsidRPr="00627CB0">
        <w:t xml:space="preserve">Stefanou v. </w:t>
      </w:r>
      <w:smartTag w:uri="urn:schemas-microsoft-com:office:smarttags" w:element="place">
        <w:smartTag w:uri="urn:schemas-microsoft-com:office:smarttags" w:element="country-region">
          <w:r w:rsidR="00627CB0" w:rsidRPr="00627CB0">
            <w:t>Greece</w:t>
          </w:r>
        </w:smartTag>
      </w:smartTag>
      <w:r w:rsidRPr="00627CB0">
        <w:t>,</w:t>
      </w:r>
    </w:p>
    <w:p w:rsidR="005803E1" w:rsidRPr="00627CB0" w:rsidRDefault="00CD49A7" w:rsidP="005803E1">
      <w:pPr>
        <w:pStyle w:val="JuPara"/>
      </w:pPr>
      <w:r w:rsidRPr="00627CB0">
        <w:t>The European Court of Human Rights</w:t>
      </w:r>
      <w:r w:rsidR="00627CB0" w:rsidRPr="00627CB0">
        <w:t xml:space="preserve"> (First Section)</w:t>
      </w:r>
      <w:r w:rsidRPr="00627CB0">
        <w:t xml:space="preserve">, sitting as a </w:t>
      </w:r>
      <w:r w:rsidR="00627CB0" w:rsidRPr="00627CB0">
        <w:t>Chamber</w:t>
      </w:r>
      <w:r w:rsidRPr="00627CB0">
        <w:t xml:space="preserve"> </w:t>
      </w:r>
      <w:r w:rsidR="005803E1" w:rsidRPr="00627CB0">
        <w:t>composed of:</w:t>
      </w:r>
    </w:p>
    <w:p w:rsidR="00804C95" w:rsidRPr="00627CB0" w:rsidRDefault="00767CF0" w:rsidP="00FE0320">
      <w:r w:rsidRPr="00767CF0">
        <w:rPr>
          <w:rStyle w:val="JuJudgesChar"/>
        </w:rPr>
        <w:tab/>
        <w:t>Nina</w:t>
      </w:r>
      <w:r>
        <w:rPr>
          <w:rStyle w:val="JuJudgesChar"/>
        </w:rPr>
        <w:t xml:space="preserve"> </w:t>
      </w:r>
      <w:r w:rsidRPr="00767CF0">
        <w:rPr>
          <w:rStyle w:val="JuJudgesChar"/>
        </w:rPr>
        <w:t>Vajić</w:t>
      </w:r>
      <w:r>
        <w:rPr>
          <w:rStyle w:val="JuJudgesChar"/>
        </w:rPr>
        <w:t>,</w:t>
      </w:r>
      <w:r w:rsidRPr="00767CF0">
        <w:rPr>
          <w:rStyle w:val="JuJudgesChar"/>
          <w:i/>
        </w:rPr>
        <w:t xml:space="preserve"> President,</w:t>
      </w:r>
      <w:r>
        <w:rPr>
          <w:rStyle w:val="JuJudgesChar"/>
          <w:i/>
        </w:rPr>
        <w:br/>
      </w:r>
      <w:r w:rsidRPr="00767CF0">
        <w:rPr>
          <w:rStyle w:val="JuJudgesChar"/>
        </w:rPr>
        <w:tab/>
        <w:t>Christos</w:t>
      </w:r>
      <w:r>
        <w:rPr>
          <w:rStyle w:val="JuJudgesChar"/>
        </w:rPr>
        <w:t xml:space="preserve"> </w:t>
      </w:r>
      <w:r w:rsidRPr="00767CF0">
        <w:rPr>
          <w:rStyle w:val="JuJudgesChar"/>
        </w:rPr>
        <w:t>Rozakis</w:t>
      </w:r>
      <w:r>
        <w:rPr>
          <w:rStyle w:val="JuJudgesChar"/>
        </w:rPr>
        <w:t>,</w:t>
      </w:r>
      <w:r>
        <w:rPr>
          <w:rStyle w:val="JuJudgesChar"/>
          <w:i/>
        </w:rPr>
        <w:br/>
      </w:r>
      <w:r w:rsidRPr="00767CF0">
        <w:rPr>
          <w:rStyle w:val="JuJudgesChar"/>
        </w:rPr>
        <w:tab/>
        <w:t>Khanlar</w:t>
      </w:r>
      <w:r>
        <w:rPr>
          <w:rStyle w:val="JuJudgesChar"/>
        </w:rPr>
        <w:t xml:space="preserve"> </w:t>
      </w:r>
      <w:r w:rsidRPr="00767CF0">
        <w:rPr>
          <w:rStyle w:val="JuJudgesChar"/>
        </w:rPr>
        <w:t>Hajiyev</w:t>
      </w:r>
      <w:r>
        <w:rPr>
          <w:rStyle w:val="JuJudgesChar"/>
        </w:rPr>
        <w:t>,</w:t>
      </w:r>
      <w:r>
        <w:rPr>
          <w:rStyle w:val="JuJudgesChar"/>
          <w:i/>
        </w:rPr>
        <w:br/>
      </w:r>
      <w:r w:rsidRPr="00767CF0">
        <w:rPr>
          <w:rStyle w:val="JuJudgesChar"/>
        </w:rPr>
        <w:tab/>
        <w:t>Dean</w:t>
      </w:r>
      <w:r>
        <w:rPr>
          <w:rStyle w:val="JuJudgesChar"/>
        </w:rPr>
        <w:t xml:space="preserve"> </w:t>
      </w:r>
      <w:r w:rsidRPr="00767CF0">
        <w:rPr>
          <w:rStyle w:val="JuJudgesChar"/>
        </w:rPr>
        <w:t>Spielmann</w:t>
      </w:r>
      <w:r>
        <w:rPr>
          <w:rStyle w:val="JuJudgesChar"/>
        </w:rPr>
        <w:t>,</w:t>
      </w:r>
      <w:r>
        <w:rPr>
          <w:rStyle w:val="JuJudgesChar"/>
          <w:i/>
        </w:rPr>
        <w:br/>
      </w:r>
      <w:r w:rsidRPr="00767CF0">
        <w:rPr>
          <w:rStyle w:val="JuJudgesChar"/>
        </w:rPr>
        <w:tab/>
        <w:t>Sverre Erik</w:t>
      </w:r>
      <w:r>
        <w:rPr>
          <w:rStyle w:val="JuJudgesChar"/>
        </w:rPr>
        <w:t xml:space="preserve"> </w:t>
      </w:r>
      <w:r w:rsidRPr="00767CF0">
        <w:rPr>
          <w:rStyle w:val="JuJudgesChar"/>
        </w:rPr>
        <w:t>Jebens</w:t>
      </w:r>
      <w:r>
        <w:rPr>
          <w:rStyle w:val="JuJudgesChar"/>
        </w:rPr>
        <w:t>,</w:t>
      </w:r>
      <w:r>
        <w:rPr>
          <w:rStyle w:val="JuJudgesChar"/>
          <w:i/>
        </w:rPr>
        <w:br/>
      </w:r>
      <w:r w:rsidRPr="00767CF0">
        <w:rPr>
          <w:rStyle w:val="JuJudgesChar"/>
        </w:rPr>
        <w:tab/>
        <w:t>Giorgio</w:t>
      </w:r>
      <w:r>
        <w:rPr>
          <w:rStyle w:val="JuJudgesChar"/>
        </w:rPr>
        <w:t xml:space="preserve"> </w:t>
      </w:r>
      <w:r w:rsidRPr="00767CF0">
        <w:rPr>
          <w:rStyle w:val="JuJudgesChar"/>
        </w:rPr>
        <w:t>Malinverni</w:t>
      </w:r>
      <w:r>
        <w:rPr>
          <w:rStyle w:val="JuJudgesChar"/>
        </w:rPr>
        <w:t>,</w:t>
      </w:r>
      <w:r>
        <w:rPr>
          <w:rStyle w:val="JuJudgesChar"/>
          <w:i/>
        </w:rPr>
        <w:br/>
      </w:r>
      <w:r w:rsidRPr="00767CF0">
        <w:rPr>
          <w:rStyle w:val="JuJudgesChar"/>
        </w:rPr>
        <w:tab/>
        <w:t>George</w:t>
      </w:r>
      <w:r>
        <w:rPr>
          <w:rStyle w:val="JuJudgesChar"/>
        </w:rPr>
        <w:t xml:space="preserve"> </w:t>
      </w:r>
      <w:r w:rsidRPr="00767CF0">
        <w:rPr>
          <w:rStyle w:val="JuJudgesChar"/>
        </w:rPr>
        <w:t>Nicolaou</w:t>
      </w:r>
      <w:r>
        <w:rPr>
          <w:rStyle w:val="JuJudgesChar"/>
        </w:rPr>
        <w:t>,</w:t>
      </w:r>
      <w:r w:rsidRPr="00767CF0">
        <w:rPr>
          <w:rStyle w:val="JuJudgesChar"/>
          <w:i/>
        </w:rPr>
        <w:t xml:space="preserve"> judges,</w:t>
      </w:r>
      <w:r w:rsidR="005803E1" w:rsidRPr="00627CB0">
        <w:br/>
      </w:r>
      <w:r w:rsidR="00CD49A7" w:rsidRPr="00627CB0">
        <w:rPr>
          <w:rStyle w:val="JuJudgesChar"/>
        </w:rPr>
        <w:t xml:space="preserve">and </w:t>
      </w:r>
      <w:r w:rsidR="00627CB0" w:rsidRPr="00627CB0">
        <w:rPr>
          <w:rStyle w:val="JuJudgesChar"/>
        </w:rPr>
        <w:t>Søren</w:t>
      </w:r>
      <w:r w:rsidR="00CD49A7" w:rsidRPr="00627CB0">
        <w:rPr>
          <w:rStyle w:val="JuJudgesChar"/>
        </w:rPr>
        <w:t xml:space="preserve"> </w:t>
      </w:r>
      <w:r w:rsidR="00627CB0" w:rsidRPr="00627CB0">
        <w:rPr>
          <w:rStyle w:val="JuJudgesChar"/>
        </w:rPr>
        <w:t>Nielsen</w:t>
      </w:r>
      <w:r w:rsidR="00CD49A7" w:rsidRPr="00627CB0">
        <w:rPr>
          <w:rStyle w:val="JuJudgesChar"/>
        </w:rPr>
        <w:t xml:space="preserve">, </w:t>
      </w:r>
      <w:r w:rsidR="00627CB0" w:rsidRPr="00627CB0">
        <w:rPr>
          <w:rStyle w:val="JuJudgesChar"/>
          <w:i/>
        </w:rPr>
        <w:t>Section Registrar</w:t>
      </w:r>
      <w:r w:rsidR="00804C95" w:rsidRPr="00627CB0">
        <w:t>,</w:t>
      </w:r>
    </w:p>
    <w:p w:rsidR="00CD49A7" w:rsidRPr="00627CB0" w:rsidRDefault="00CD49A7">
      <w:pPr>
        <w:pStyle w:val="JuPara"/>
      </w:pPr>
      <w:r w:rsidRPr="00627CB0">
        <w:t xml:space="preserve">Having deliberated in private on </w:t>
      </w:r>
      <w:r w:rsidR="00767CF0">
        <w:t>25 March 2010</w:t>
      </w:r>
      <w:r w:rsidRPr="00627CB0">
        <w:t>,</w:t>
      </w:r>
    </w:p>
    <w:p w:rsidR="00CD49A7" w:rsidRPr="00627CB0" w:rsidRDefault="00CD49A7">
      <w:pPr>
        <w:pStyle w:val="JuPara"/>
      </w:pPr>
      <w:r w:rsidRPr="00627CB0">
        <w:t>Delivers the following judgment, which was adopted on th</w:t>
      </w:r>
      <w:r w:rsidR="003B2CD0">
        <w:t>at</w:t>
      </w:r>
      <w:r w:rsidRPr="00627CB0">
        <w:t xml:space="preserve"> date:</w:t>
      </w:r>
    </w:p>
    <w:p w:rsidR="00CD49A7" w:rsidRPr="00627CB0" w:rsidRDefault="00CD49A7">
      <w:pPr>
        <w:pStyle w:val="JuHHead"/>
      </w:pPr>
      <w:r w:rsidRPr="00627CB0">
        <w:t>PROCEDURE</w:t>
      </w:r>
    </w:p>
    <w:p w:rsidR="00C74995" w:rsidRDefault="00627CB0" w:rsidP="00085109">
      <w:pPr>
        <w:pStyle w:val="JuPara"/>
      </w:pPr>
      <w:r w:rsidRPr="00627CB0">
        <w:fldChar w:fldCharType="begin"/>
      </w:r>
      <w:r w:rsidRPr="00627CB0">
        <w:instrText xml:space="preserve"> SEQ level0 \*arabic </w:instrText>
      </w:r>
      <w:r w:rsidRPr="00627CB0">
        <w:fldChar w:fldCharType="separate"/>
      </w:r>
      <w:r w:rsidR="005F3BDE">
        <w:rPr>
          <w:noProof/>
        </w:rPr>
        <w:t>1</w:t>
      </w:r>
      <w:r w:rsidRPr="00627CB0">
        <w:fldChar w:fldCharType="end"/>
      </w:r>
      <w:r w:rsidR="00CD49A7" w:rsidRPr="00627CB0">
        <w:t xml:space="preserve">.  The case originated in </w:t>
      </w:r>
      <w:r w:rsidRPr="00627CB0">
        <w:t>an application (no. 2954/07)</w:t>
      </w:r>
      <w:r w:rsidR="00CD49A7" w:rsidRPr="00627CB0">
        <w:t xml:space="preserve"> against </w:t>
      </w:r>
      <w:r w:rsidRPr="00627CB0">
        <w:t xml:space="preserve">the </w:t>
      </w:r>
      <w:smartTag w:uri="urn:schemas-microsoft-com:office:smarttags" w:element="place">
        <w:smartTag w:uri="urn:schemas-microsoft-com:office:smarttags" w:element="PlaceName">
          <w:r w:rsidRPr="00627CB0">
            <w:t>Hellenic</w:t>
          </w:r>
        </w:smartTag>
        <w:r w:rsidRPr="00627CB0">
          <w:t xml:space="preserve"> </w:t>
        </w:r>
        <w:smartTag w:uri="urn:schemas-microsoft-com:office:smarttags" w:element="PlaceType">
          <w:r w:rsidRPr="00627CB0">
            <w:t>Republic</w:t>
          </w:r>
        </w:smartTag>
      </w:smartTag>
      <w:r w:rsidR="00CD49A7" w:rsidRPr="00627CB0">
        <w:t xml:space="preserve"> lodged with the </w:t>
      </w:r>
      <w:r w:rsidRPr="00627CB0">
        <w:t>Court under Article 34</w:t>
      </w:r>
      <w:r w:rsidR="00CD49A7" w:rsidRPr="00627CB0">
        <w:t xml:space="preserve"> of the Convention for the Protection of Human Rights and Fundamental Freedoms (“the Convention”) by </w:t>
      </w:r>
      <w:r>
        <w:t>a</w:t>
      </w:r>
      <w:r w:rsidRPr="00627CB0">
        <w:t xml:space="preserve"> Greek national, Mr Theodoros Stefanou (“the applicant”), on 4 January 2007</w:t>
      </w:r>
      <w:r w:rsidR="00CD49A7" w:rsidRPr="00627CB0">
        <w:t>.</w:t>
      </w:r>
    </w:p>
    <w:p w:rsidR="00CD49A7" w:rsidRPr="00627CB0" w:rsidRDefault="00627CB0">
      <w:pPr>
        <w:pStyle w:val="JuPara"/>
      </w:pPr>
      <w:r w:rsidRPr="00627CB0">
        <w:fldChar w:fldCharType="begin"/>
      </w:r>
      <w:r w:rsidRPr="00627CB0">
        <w:instrText xml:space="preserve"> SEQ level0 \*arabic </w:instrText>
      </w:r>
      <w:r w:rsidRPr="00627CB0">
        <w:fldChar w:fldCharType="separate"/>
      </w:r>
      <w:r w:rsidR="005F3BDE">
        <w:rPr>
          <w:noProof/>
        </w:rPr>
        <w:t>2</w:t>
      </w:r>
      <w:r w:rsidRPr="00627CB0">
        <w:fldChar w:fldCharType="end"/>
      </w:r>
      <w:r w:rsidR="00CD49A7" w:rsidRPr="00627CB0">
        <w:t>.  </w:t>
      </w:r>
      <w:r w:rsidRPr="00627CB0">
        <w:t>The applicant was represented by Greek Helsinki Monitor</w:t>
      </w:r>
      <w:r>
        <w:t>, a non</w:t>
      </w:r>
      <w:r w:rsidR="003862E8">
        <w:t>-</w:t>
      </w:r>
      <w:r>
        <w:t xml:space="preserve">governmental organisation registered in </w:t>
      </w:r>
      <w:smartTag w:uri="urn:schemas-microsoft-com:office:smarttags" w:element="place">
        <w:smartTag w:uri="urn:schemas-microsoft-com:office:smarttags" w:element="country-region">
          <w:r>
            <w:t>Greece</w:t>
          </w:r>
        </w:smartTag>
      </w:smartTag>
      <w:r w:rsidRPr="00627CB0">
        <w:t>.</w:t>
      </w:r>
      <w:r w:rsidR="00C74995">
        <w:t xml:space="preserve"> </w:t>
      </w:r>
      <w:r w:rsidR="002D6A32" w:rsidRPr="00627CB0">
        <w:t xml:space="preserve">The </w:t>
      </w:r>
      <w:r w:rsidRPr="00627CB0">
        <w:t>Greek</w:t>
      </w:r>
      <w:r w:rsidR="002D6A32" w:rsidRPr="00627CB0">
        <w:t xml:space="preserve"> Government (</w:t>
      </w:r>
      <w:r w:rsidRPr="00627CB0">
        <w:t>“</w:t>
      </w:r>
      <w:r w:rsidR="002D6A32" w:rsidRPr="00627CB0">
        <w:t>the Government</w:t>
      </w:r>
      <w:r w:rsidRPr="00627CB0">
        <w:t>”</w:t>
      </w:r>
      <w:r w:rsidR="002D6A32" w:rsidRPr="00627CB0">
        <w:t xml:space="preserve">) </w:t>
      </w:r>
      <w:r w:rsidRPr="00627CB0">
        <w:t>were</w:t>
      </w:r>
      <w:r w:rsidR="002D6A32" w:rsidRPr="00627CB0">
        <w:t xml:space="preserve"> represented by their Agent</w:t>
      </w:r>
      <w:r w:rsidR="00E81900">
        <w:t>'</w:t>
      </w:r>
      <w:r w:rsidR="00861B2E">
        <w:t>s</w:t>
      </w:r>
      <w:r w:rsidR="00861B2E" w:rsidRPr="00861B2E">
        <w:t xml:space="preserve"> </w:t>
      </w:r>
      <w:r w:rsidR="00861B2E">
        <w:t>d</w:t>
      </w:r>
      <w:r w:rsidR="00861B2E" w:rsidRPr="001C7622">
        <w:t>elegates</w:t>
      </w:r>
      <w:r w:rsidR="002D6A32" w:rsidRPr="00627CB0">
        <w:t xml:space="preserve">, </w:t>
      </w:r>
      <w:r w:rsidR="003B2CD0">
        <w:t>Mr K.</w:t>
      </w:r>
      <w:r w:rsidR="00110CFA">
        <w:t>Georgiadis</w:t>
      </w:r>
      <w:r w:rsidR="00861B2E">
        <w:t>,</w:t>
      </w:r>
      <w:r w:rsidR="00110CFA">
        <w:t xml:space="preserve"> </w:t>
      </w:r>
      <w:r w:rsidR="002122F2">
        <w:t xml:space="preserve">Senior </w:t>
      </w:r>
      <w:r w:rsidR="00861B2E" w:rsidRPr="00795078">
        <w:t>Adviser at</w:t>
      </w:r>
      <w:r w:rsidR="00861B2E">
        <w:t xml:space="preserve"> the State Legal Council, </w:t>
      </w:r>
      <w:r w:rsidR="003B2CD0">
        <w:t>and Ms Z. </w:t>
      </w:r>
      <w:r w:rsidR="00110CFA">
        <w:t>Hadjipavlou</w:t>
      </w:r>
      <w:r w:rsidR="002D6A32" w:rsidRPr="00627CB0">
        <w:t xml:space="preserve">, </w:t>
      </w:r>
      <w:r w:rsidR="00861B2E" w:rsidRPr="00795078">
        <w:t>Legal Assistant at the State Legal Council</w:t>
      </w:r>
      <w:r w:rsidR="00861B2E">
        <w:t>.</w:t>
      </w:r>
    </w:p>
    <w:p w:rsidR="00C74995" w:rsidRDefault="00627CB0" w:rsidP="00830E21">
      <w:pPr>
        <w:pStyle w:val="JuPara"/>
      </w:pPr>
      <w:r w:rsidRPr="00627CB0">
        <w:fldChar w:fldCharType="begin"/>
      </w:r>
      <w:r w:rsidRPr="00627CB0">
        <w:instrText xml:space="preserve"> SEQ level0 \*arabic </w:instrText>
      </w:r>
      <w:r w:rsidRPr="00627CB0">
        <w:fldChar w:fldCharType="separate"/>
      </w:r>
      <w:r w:rsidR="005F3BDE">
        <w:rPr>
          <w:noProof/>
        </w:rPr>
        <w:t>3</w:t>
      </w:r>
      <w:r w:rsidRPr="00627CB0">
        <w:fldChar w:fldCharType="end"/>
      </w:r>
      <w:r w:rsidR="00CD49A7" w:rsidRPr="00627CB0">
        <w:t xml:space="preserve">.  The </w:t>
      </w:r>
      <w:r w:rsidRPr="00627CB0">
        <w:t>applicant</w:t>
      </w:r>
      <w:r w:rsidR="00110CFA">
        <w:t xml:space="preserve"> alleged, in particular, </w:t>
      </w:r>
      <w:r w:rsidR="008C4102">
        <w:t xml:space="preserve">violations of Articles 3 (substantial and procedural violation), 6 § 1 (length of proceedings, access to court and alleged failure of the </w:t>
      </w:r>
      <w:smartTag w:uri="urn:schemas-microsoft-com:office:smarttags" w:element="Street">
        <w:smartTag w:uri="urn:schemas-microsoft-com:office:smarttags" w:element="address">
          <w:r w:rsidR="008C4102">
            <w:t>Appeal Court</w:t>
          </w:r>
        </w:smartTag>
      </w:smartTag>
      <w:r w:rsidR="008C4102">
        <w:t xml:space="preserve"> t</w:t>
      </w:r>
      <w:r w:rsidR="00830E21">
        <w:t>o give reasons for its decision</w:t>
      </w:r>
      <w:r w:rsidR="008C4102">
        <w:t xml:space="preserve">), and 14 </w:t>
      </w:r>
      <w:r w:rsidR="00830E21">
        <w:t xml:space="preserve">(discrimination on the ground of ethnic origin) </w:t>
      </w:r>
      <w:r w:rsidR="008C4102">
        <w:t>of the Convention.</w:t>
      </w:r>
    </w:p>
    <w:p w:rsidR="00861B2E" w:rsidRPr="00795078" w:rsidRDefault="00861B2E" w:rsidP="00861B2E">
      <w:pPr>
        <w:pStyle w:val="JuPara"/>
      </w:pPr>
      <w:r w:rsidRPr="00795078">
        <w:fldChar w:fldCharType="begin"/>
      </w:r>
      <w:r w:rsidRPr="00795078">
        <w:instrText xml:space="preserve"> SEQ level0 \*arabic </w:instrText>
      </w:r>
      <w:r w:rsidRPr="00795078">
        <w:fldChar w:fldCharType="separate"/>
      </w:r>
      <w:r w:rsidR="005F3BDE">
        <w:rPr>
          <w:noProof/>
        </w:rPr>
        <w:t>4</w:t>
      </w:r>
      <w:r w:rsidRPr="00795078">
        <w:fldChar w:fldCharType="end"/>
      </w:r>
      <w:r w:rsidRPr="00795078">
        <w:t xml:space="preserve">.  On </w:t>
      </w:r>
      <w:r w:rsidR="008C4102">
        <w:t>8</w:t>
      </w:r>
      <w:r>
        <w:t xml:space="preserve"> </w:t>
      </w:r>
      <w:r w:rsidR="008C4102">
        <w:t>July 2008</w:t>
      </w:r>
      <w:r w:rsidRPr="00795078">
        <w:t xml:space="preserve"> the Court decided to give notice of the application to the Government. It also decided to examine the merits of the application at the same time as its admissibility (Article 29 § 3).</w:t>
      </w:r>
    </w:p>
    <w:p w:rsidR="00CD49A7" w:rsidRPr="00627CB0" w:rsidRDefault="00CD49A7" w:rsidP="00F92A55">
      <w:pPr>
        <w:pStyle w:val="JuHHead"/>
      </w:pPr>
      <w:r w:rsidRPr="00627CB0">
        <w:t>THE FACTS</w:t>
      </w:r>
    </w:p>
    <w:p w:rsidR="00CD49A7" w:rsidRPr="00627CB0" w:rsidRDefault="00CD49A7" w:rsidP="00F92A55">
      <w:pPr>
        <w:pStyle w:val="JuHIRoman"/>
      </w:pPr>
      <w:r w:rsidRPr="00627CB0">
        <w:t>I.  THE CIRCUMSTANCES OF THE CASE</w:t>
      </w:r>
    </w:p>
    <w:p w:rsidR="00CD49A7" w:rsidRPr="00627CB0" w:rsidRDefault="00371AB0" w:rsidP="00F92A55">
      <w:pPr>
        <w:pStyle w:val="JuPara"/>
        <w:keepNext/>
        <w:keepLines/>
      </w:pPr>
      <w:r>
        <w:fldChar w:fldCharType="begin"/>
      </w:r>
      <w:r>
        <w:instrText xml:space="preserve"> SEQ level0 \*arabic </w:instrText>
      </w:r>
      <w:r>
        <w:fldChar w:fldCharType="separate"/>
      </w:r>
      <w:r w:rsidR="005F3BDE">
        <w:rPr>
          <w:noProof/>
        </w:rPr>
        <w:t>5</w:t>
      </w:r>
      <w:r>
        <w:fldChar w:fldCharType="end"/>
      </w:r>
      <w:r>
        <w:t>.  </w:t>
      </w:r>
      <w:r w:rsidR="00CD49A7" w:rsidRPr="00627CB0">
        <w:t xml:space="preserve">The </w:t>
      </w:r>
      <w:r w:rsidR="00627CB0" w:rsidRPr="00627CB0">
        <w:t xml:space="preserve">applicant </w:t>
      </w:r>
      <w:r w:rsidR="00830E21">
        <w:t>is a</w:t>
      </w:r>
      <w:r w:rsidR="00830E21" w:rsidRPr="00DE619F">
        <w:t xml:space="preserve"> Greek national</w:t>
      </w:r>
      <w:r w:rsidR="00830E21">
        <w:t xml:space="preserve"> of Roma origin,</w:t>
      </w:r>
      <w:r w:rsidR="00830E21" w:rsidRPr="00DE619F">
        <w:t xml:space="preserve"> </w:t>
      </w:r>
      <w:r w:rsidR="00830E21">
        <w:t xml:space="preserve">who </w:t>
      </w:r>
      <w:r w:rsidR="00627CB0" w:rsidRPr="00627CB0">
        <w:t>was born in 1985 and lives</w:t>
      </w:r>
      <w:r w:rsidR="00CD49A7" w:rsidRPr="00627CB0">
        <w:t xml:space="preserve"> in </w:t>
      </w:r>
      <w:smartTag w:uri="urn:schemas-microsoft-com:office:smarttags" w:element="place">
        <w:smartTag w:uri="urn:schemas-microsoft-com:office:smarttags" w:element="City">
          <w:r w:rsidR="00627CB0">
            <w:t>Athens</w:t>
          </w:r>
        </w:smartTag>
      </w:smartTag>
      <w:r w:rsidR="00CD49A7" w:rsidRPr="00627CB0">
        <w:t>.</w:t>
      </w:r>
      <w:r w:rsidR="00936B62">
        <w:t xml:space="preserve"> He was </w:t>
      </w:r>
      <w:r w:rsidR="003862E8">
        <w:t xml:space="preserve">sixteen </w:t>
      </w:r>
      <w:r w:rsidR="00936B62">
        <w:t>years old at the time of the events.</w:t>
      </w:r>
    </w:p>
    <w:p w:rsidR="00C74995" w:rsidRDefault="00830E21" w:rsidP="00830E21">
      <w:pPr>
        <w:pStyle w:val="JuHA"/>
      </w:pPr>
      <w:r>
        <w:t>A.  The proceedings before the criminal courts</w:t>
      </w:r>
    </w:p>
    <w:p w:rsidR="00E00C14" w:rsidRDefault="00371AB0" w:rsidP="00830E21">
      <w:pPr>
        <w:pStyle w:val="JuPara"/>
      </w:pPr>
      <w:r>
        <w:fldChar w:fldCharType="begin"/>
      </w:r>
      <w:r>
        <w:instrText xml:space="preserve"> SEQ level0 \*arabic </w:instrText>
      </w:r>
      <w:r>
        <w:fldChar w:fldCharType="separate"/>
      </w:r>
      <w:r w:rsidR="005F3BDE">
        <w:rPr>
          <w:noProof/>
        </w:rPr>
        <w:t>6</w:t>
      </w:r>
      <w:r>
        <w:fldChar w:fldCharType="end"/>
      </w:r>
      <w:r>
        <w:t>.  </w:t>
      </w:r>
      <w:r w:rsidR="00830E21">
        <w:t>On 5 August 200</w:t>
      </w:r>
      <w:r w:rsidR="00AE2CA9">
        <w:t xml:space="preserve">1, </w:t>
      </w:r>
      <w:r w:rsidR="00C16EED">
        <w:t xml:space="preserve">P.P., </w:t>
      </w:r>
      <w:r w:rsidR="00AE2CA9">
        <w:t>a kiosk owner in Argostoli, o</w:t>
      </w:r>
      <w:r w:rsidR="00830E21">
        <w:t xml:space="preserve">n the </w:t>
      </w:r>
      <w:smartTag w:uri="urn:schemas-microsoft-com:office:smarttags" w:element="place">
        <w:smartTag w:uri="urn:schemas-microsoft-com:office:smarttags" w:element="PlaceType">
          <w:r w:rsidR="00830E21">
            <w:t>island</w:t>
          </w:r>
        </w:smartTag>
        <w:r w:rsidR="00830E21">
          <w:t xml:space="preserve"> of </w:t>
        </w:r>
        <w:smartTag w:uri="urn:schemas-microsoft-com:office:smarttags" w:element="PlaceName">
          <w:r w:rsidR="00830E21">
            <w:t>Cephalonia</w:t>
          </w:r>
        </w:smartTag>
      </w:smartTag>
      <w:r w:rsidR="00830E21">
        <w:t xml:space="preserve">, reported to the local police </w:t>
      </w:r>
      <w:r w:rsidR="003862E8">
        <w:t xml:space="preserve">that </w:t>
      </w:r>
      <w:r w:rsidR="00830E21">
        <w:t xml:space="preserve">approximately </w:t>
      </w:r>
      <w:r w:rsidR="00EA60FF">
        <w:t>9</w:t>
      </w:r>
      <w:r w:rsidR="003862E8">
        <w:t>,</w:t>
      </w:r>
      <w:r w:rsidR="00EA60FF">
        <w:t>500</w:t>
      </w:r>
      <w:r w:rsidR="003862E8">
        <w:t>,</w:t>
      </w:r>
      <w:r w:rsidR="00EA60FF">
        <w:t xml:space="preserve">000 </w:t>
      </w:r>
      <w:r w:rsidR="003862E8">
        <w:t xml:space="preserve">Greek </w:t>
      </w:r>
      <w:r w:rsidR="00EA60FF">
        <w:t>drachmas (</w:t>
      </w:r>
      <w:r w:rsidR="003862E8">
        <w:t xml:space="preserve">GRD, </w:t>
      </w:r>
      <w:r w:rsidR="00830E21">
        <w:t>28</w:t>
      </w:r>
      <w:r w:rsidR="003862E8">
        <w:t>,</w:t>
      </w:r>
      <w:r w:rsidR="00830E21">
        <w:t>000 euros</w:t>
      </w:r>
      <w:r w:rsidR="003B2CD0">
        <w:t xml:space="preserve"> (EUR)</w:t>
      </w:r>
      <w:r w:rsidR="00EA60FF">
        <w:t>)</w:t>
      </w:r>
      <w:r w:rsidR="00830E21">
        <w:t xml:space="preserve"> </w:t>
      </w:r>
      <w:r w:rsidR="003862E8">
        <w:t xml:space="preserve">had been stolen </w:t>
      </w:r>
      <w:r w:rsidR="00830E21">
        <w:t>from him. During the summary investigation that was immediately carried out by th</w:t>
      </w:r>
      <w:r w:rsidR="00F144F7">
        <w:t xml:space="preserve">e </w:t>
      </w:r>
      <w:r w:rsidR="00E466DF">
        <w:t>local police,</w:t>
      </w:r>
      <w:r w:rsidR="00F144F7">
        <w:t xml:space="preserve"> four Roma youth</w:t>
      </w:r>
      <w:r w:rsidR="003862E8">
        <w:t>s</w:t>
      </w:r>
      <w:r w:rsidR="00830E21">
        <w:t xml:space="preserve"> were taken to </w:t>
      </w:r>
      <w:r w:rsidR="00E466DF">
        <w:t>Argostoli</w:t>
      </w:r>
      <w:r w:rsidR="003862E8">
        <w:t xml:space="preserve"> police station</w:t>
      </w:r>
      <w:r w:rsidR="00E466DF">
        <w:t>. On the same day the four youth</w:t>
      </w:r>
      <w:r w:rsidR="003862E8">
        <w:t>s</w:t>
      </w:r>
      <w:r w:rsidR="00E466DF">
        <w:t xml:space="preserve"> were transferred to </w:t>
      </w:r>
      <w:r w:rsidR="003862E8">
        <w:t xml:space="preserve">the </w:t>
      </w:r>
      <w:smartTag w:uri="urn:schemas-microsoft-com:office:smarttags" w:element="place">
        <w:r w:rsidR="00E466DF">
          <w:t>Cephalonia</w:t>
        </w:r>
      </w:smartTag>
      <w:r w:rsidR="00E466DF">
        <w:t xml:space="preserve"> </w:t>
      </w:r>
      <w:r w:rsidR="003862E8">
        <w:t>p</w:t>
      </w:r>
      <w:r w:rsidR="009D3506">
        <w:t>rosecutor</w:t>
      </w:r>
      <w:r w:rsidR="00E81900">
        <w:t>'</w:t>
      </w:r>
      <w:r w:rsidR="009D3506">
        <w:t xml:space="preserve">s </w:t>
      </w:r>
      <w:r w:rsidR="003862E8">
        <w:t>o</w:t>
      </w:r>
      <w:r w:rsidR="009D3506">
        <w:t xml:space="preserve">ffice </w:t>
      </w:r>
      <w:r w:rsidR="00E466DF">
        <w:t>and then, on 6 August 2001, taken to court for an immediate summary trial, where they were acquitted of all charges.</w:t>
      </w:r>
    </w:p>
    <w:p w:rsidR="00C74995" w:rsidRDefault="00C96D65" w:rsidP="00830E21">
      <w:pPr>
        <w:pStyle w:val="JuPara"/>
      </w:pPr>
      <w:r>
        <w:fldChar w:fldCharType="begin"/>
      </w:r>
      <w:r>
        <w:instrText xml:space="preserve"> SEQ level0 \*arabic </w:instrText>
      </w:r>
      <w:r>
        <w:fldChar w:fldCharType="separate"/>
      </w:r>
      <w:r w:rsidR="005F3BDE">
        <w:rPr>
          <w:noProof/>
        </w:rPr>
        <w:t>7</w:t>
      </w:r>
      <w:r>
        <w:fldChar w:fldCharType="end"/>
      </w:r>
      <w:r>
        <w:t>.  </w:t>
      </w:r>
      <w:r w:rsidR="00E05BDC">
        <w:t xml:space="preserve">The </w:t>
      </w:r>
      <w:r w:rsidR="00E5020D">
        <w:t>applicant, who was a friend of the four youth</w:t>
      </w:r>
      <w:r w:rsidR="00934E39">
        <w:t>s</w:t>
      </w:r>
      <w:r w:rsidR="00E5020D">
        <w:t xml:space="preserve">, turned up at the police station spontaneously </w:t>
      </w:r>
      <w:r w:rsidR="00AE2CA9">
        <w:t>on 5 August 2001</w:t>
      </w:r>
      <w:r w:rsidR="00E5020D">
        <w:t xml:space="preserve"> out of fellow</w:t>
      </w:r>
      <w:r w:rsidR="00934E39">
        <w:t xml:space="preserve"> </w:t>
      </w:r>
      <w:r w:rsidR="00E5020D">
        <w:t xml:space="preserve">feeling for his friends. He was also shown to the kiosk owner but was not </w:t>
      </w:r>
      <w:r w:rsidR="00E26FC2">
        <w:t>recognised</w:t>
      </w:r>
      <w:r w:rsidR="00E5020D">
        <w:t xml:space="preserve"> by him.</w:t>
      </w:r>
    </w:p>
    <w:p w:rsidR="00F4660E" w:rsidRDefault="00371AB0" w:rsidP="00830E21">
      <w:pPr>
        <w:pStyle w:val="JuPara"/>
      </w:pPr>
      <w:r>
        <w:fldChar w:fldCharType="begin"/>
      </w:r>
      <w:r>
        <w:instrText xml:space="preserve"> SEQ level0 \*arabic </w:instrText>
      </w:r>
      <w:r>
        <w:fldChar w:fldCharType="separate"/>
      </w:r>
      <w:r w:rsidR="005F3BDE">
        <w:rPr>
          <w:noProof/>
        </w:rPr>
        <w:t>8</w:t>
      </w:r>
      <w:r>
        <w:fldChar w:fldCharType="end"/>
      </w:r>
      <w:r>
        <w:t>.  </w:t>
      </w:r>
      <w:r w:rsidR="00E5020D">
        <w:t>According to the applicant,</w:t>
      </w:r>
      <w:r w:rsidR="00EA60FF">
        <w:t xml:space="preserve"> </w:t>
      </w:r>
      <w:r w:rsidR="0021719F">
        <w:t xml:space="preserve">while </w:t>
      </w:r>
      <w:r w:rsidR="00682452">
        <w:t xml:space="preserve">he was </w:t>
      </w:r>
      <w:r w:rsidR="0021719F">
        <w:t xml:space="preserve">at the police station he was questioned as to whether or not he had been involved in the theft. The applicant submitted that </w:t>
      </w:r>
      <w:r w:rsidR="00830E21">
        <w:t xml:space="preserve">he </w:t>
      </w:r>
      <w:r w:rsidR="00A566ED">
        <w:t>had been</w:t>
      </w:r>
      <w:r w:rsidR="00830E21">
        <w:t xml:space="preserve"> punched and slapped hard in the face </w:t>
      </w:r>
      <w:r w:rsidR="003030BA">
        <w:t>for over a quarter of</w:t>
      </w:r>
      <w:r w:rsidR="0096180A">
        <w:t xml:space="preserve"> an hour </w:t>
      </w:r>
      <w:r w:rsidR="003030BA">
        <w:t xml:space="preserve">by a </w:t>
      </w:r>
      <w:r w:rsidR="00830E21">
        <w:t>police officer</w:t>
      </w:r>
      <w:r w:rsidR="003030BA">
        <w:t>, N.K., and in the presence of the commander of the police station, who</w:t>
      </w:r>
      <w:r w:rsidR="00830E21">
        <w:t xml:space="preserve"> questioned him</w:t>
      </w:r>
      <w:r w:rsidR="00E00C14">
        <w:t xml:space="preserve"> to </w:t>
      </w:r>
      <w:r w:rsidR="00AE2CA9">
        <w:t xml:space="preserve">make him </w:t>
      </w:r>
      <w:r w:rsidR="00E00C14">
        <w:t>confess that he had participated in the theft</w:t>
      </w:r>
      <w:r w:rsidR="00830E21">
        <w:t xml:space="preserve">. </w:t>
      </w:r>
      <w:r w:rsidR="0037466E">
        <w:t xml:space="preserve">He </w:t>
      </w:r>
      <w:r w:rsidR="0021719F">
        <w:t>was subsequently allowed to leave the police station</w:t>
      </w:r>
      <w:r w:rsidR="00AE2CA9">
        <w:t>. However,</w:t>
      </w:r>
      <w:r w:rsidR="0037466E">
        <w:t xml:space="preserve"> </w:t>
      </w:r>
      <w:r w:rsidR="0021719F">
        <w:t xml:space="preserve">the applicant maintained that </w:t>
      </w:r>
      <w:r w:rsidR="003030BA">
        <w:t xml:space="preserve">the </w:t>
      </w:r>
      <w:r w:rsidR="0037466E">
        <w:t xml:space="preserve">police </w:t>
      </w:r>
      <w:r w:rsidR="003030BA">
        <w:t xml:space="preserve">officer </w:t>
      </w:r>
      <w:r w:rsidR="0037466E">
        <w:t xml:space="preserve">kept his </w:t>
      </w:r>
      <w:r w:rsidR="00682452">
        <w:t>mobile</w:t>
      </w:r>
      <w:r w:rsidR="0037466E">
        <w:t xml:space="preserve"> phone </w:t>
      </w:r>
      <w:r w:rsidR="00F4660E">
        <w:t xml:space="preserve">to </w:t>
      </w:r>
      <w:r w:rsidR="00682452">
        <w:t xml:space="preserve">find out </w:t>
      </w:r>
      <w:r w:rsidR="00F4660E">
        <w:t>whet</w:t>
      </w:r>
      <w:r w:rsidR="00AE2CA9">
        <w:t>he</w:t>
      </w:r>
      <w:r w:rsidR="0021719F">
        <w:t>r it was stolen.</w:t>
      </w:r>
    </w:p>
    <w:p w:rsidR="0097684A" w:rsidRDefault="0021719F" w:rsidP="00830E21">
      <w:pPr>
        <w:pStyle w:val="JuPara"/>
      </w:pPr>
      <w:r>
        <w:fldChar w:fldCharType="begin"/>
      </w:r>
      <w:r>
        <w:instrText xml:space="preserve"> SEQ level0 \*arabic </w:instrText>
      </w:r>
      <w:r>
        <w:fldChar w:fldCharType="separate"/>
      </w:r>
      <w:r w:rsidR="005F3BDE">
        <w:rPr>
          <w:noProof/>
        </w:rPr>
        <w:t>9</w:t>
      </w:r>
      <w:r>
        <w:fldChar w:fldCharType="end"/>
      </w:r>
      <w:r>
        <w:t>.  </w:t>
      </w:r>
      <w:r w:rsidR="00830E21">
        <w:t xml:space="preserve">A few hours </w:t>
      </w:r>
      <w:r w:rsidR="00AE2CA9">
        <w:t>after his release on 5 August 2001</w:t>
      </w:r>
      <w:r w:rsidR="00F4660E">
        <w:t xml:space="preserve"> the applicant</w:t>
      </w:r>
      <w:r w:rsidR="00830E21">
        <w:t xml:space="preserve"> was admitted to the local hospital,</w:t>
      </w:r>
      <w:r w:rsidR="00117DBA">
        <w:t xml:space="preserve"> the General Prefectural Medical Hospital of </w:t>
      </w:r>
      <w:smartTag w:uri="urn:schemas-microsoft-com:office:smarttags" w:element="place">
        <w:r w:rsidR="00117DBA">
          <w:t>Cephalonia</w:t>
        </w:r>
      </w:smartTag>
      <w:r w:rsidR="00117DBA">
        <w:t>,</w:t>
      </w:r>
      <w:r w:rsidR="00D173BC">
        <w:t xml:space="preserve"> and </w:t>
      </w:r>
      <w:r w:rsidR="00682452">
        <w:t xml:space="preserve">had </w:t>
      </w:r>
      <w:r w:rsidR="00F4660E">
        <w:t>a medical examination</w:t>
      </w:r>
      <w:r w:rsidR="00682452">
        <w:t xml:space="preserve"> there</w:t>
      </w:r>
      <w:r w:rsidR="00830E21">
        <w:t>.</w:t>
      </w:r>
      <w:r w:rsidR="00B32C8F">
        <w:t xml:space="preserve"> </w:t>
      </w:r>
      <w:r w:rsidR="0097684A">
        <w:t>He stayed there for four</w:t>
      </w:r>
      <w:r w:rsidR="00B32C8F">
        <w:t xml:space="preserve"> hours.</w:t>
      </w:r>
      <w:r w:rsidR="00830E21">
        <w:t xml:space="preserve"> </w:t>
      </w:r>
      <w:r w:rsidR="0097684A">
        <w:t>T</w:t>
      </w:r>
      <w:r w:rsidR="00117DBA">
        <w:t xml:space="preserve">he </w:t>
      </w:r>
      <w:r w:rsidR="00682452">
        <w:t xml:space="preserve">hospital </w:t>
      </w:r>
      <w:r w:rsidR="00117DBA">
        <w:t xml:space="preserve">certificate </w:t>
      </w:r>
      <w:r w:rsidR="0097684A">
        <w:t>indicated the following:</w:t>
      </w:r>
    </w:p>
    <w:p w:rsidR="00830E21" w:rsidRDefault="0097684A" w:rsidP="00D173BC">
      <w:pPr>
        <w:pStyle w:val="JuQuot"/>
      </w:pPr>
      <w:r>
        <w:t>“</w:t>
      </w:r>
      <w:r w:rsidR="00A05F92">
        <w:t>[</w:t>
      </w:r>
      <w:r>
        <w:t>The applicant</w:t>
      </w:r>
      <w:r w:rsidR="00A05F92">
        <w:t xml:space="preserve">] </w:t>
      </w:r>
      <w:r w:rsidR="00682452">
        <w:t>came to our hospital</w:t>
      </w:r>
      <w:r w:rsidR="00E81900">
        <w:t>'</w:t>
      </w:r>
      <w:r w:rsidR="00682452">
        <w:t xml:space="preserve">s </w:t>
      </w:r>
      <w:r w:rsidR="007C05F7">
        <w:t>e</w:t>
      </w:r>
      <w:r w:rsidR="00A05F92">
        <w:t>mergenc</w:t>
      </w:r>
      <w:r w:rsidR="00682452">
        <w:t>y</w:t>
      </w:r>
      <w:r w:rsidR="00A05F92">
        <w:t xml:space="preserve"> </w:t>
      </w:r>
      <w:r w:rsidR="00682452">
        <w:t xml:space="preserve">department </w:t>
      </w:r>
      <w:r>
        <w:t xml:space="preserve">on 5 August 2001 and was found to be suffering from: </w:t>
      </w:r>
      <w:r w:rsidR="00117DBA">
        <w:t>a</w:t>
      </w:r>
      <w:r w:rsidR="00682452">
        <w:t xml:space="preserve"> head </w:t>
      </w:r>
      <w:r w:rsidR="00117DBA">
        <w:t xml:space="preserve">injury </w:t>
      </w:r>
      <w:r w:rsidR="00E5020D" w:rsidRPr="00AE2CA9">
        <w:t>reportedly</w:t>
      </w:r>
      <w:r w:rsidR="00E5020D">
        <w:t xml:space="preserve"> </w:t>
      </w:r>
      <w:r w:rsidR="00117DBA">
        <w:t xml:space="preserve">inflicted by beating, dizziness, </w:t>
      </w:r>
      <w:r w:rsidR="00682452">
        <w:t>severe</w:t>
      </w:r>
      <w:r w:rsidR="00117DBA">
        <w:t xml:space="preserve"> headache, </w:t>
      </w:r>
      <w:r w:rsidR="008942BB">
        <w:t xml:space="preserve">swelling and sensitivity </w:t>
      </w:r>
      <w:r w:rsidR="00682452">
        <w:t>of</w:t>
      </w:r>
      <w:r w:rsidR="002237AA">
        <w:t xml:space="preserve"> the nose and difficulty in </w:t>
      </w:r>
      <w:r w:rsidR="004D5A8D">
        <w:t>maintaining eye focus</w:t>
      </w:r>
      <w:r w:rsidR="002237AA">
        <w:t>.</w:t>
      </w:r>
      <w:r>
        <w:t xml:space="preserve"> No trace of </w:t>
      </w:r>
      <w:r w:rsidR="00A05F92">
        <w:t>fracture of the s</w:t>
      </w:r>
      <w:r w:rsidR="004D5A8D">
        <w:t>k</w:t>
      </w:r>
      <w:r w:rsidR="00A05F92">
        <w:t>ull was detected. He remained</w:t>
      </w:r>
      <w:r w:rsidR="00D974DF">
        <w:t xml:space="preserve"> at the hospital </w:t>
      </w:r>
      <w:r w:rsidR="00A05F92">
        <w:t xml:space="preserve">for a </w:t>
      </w:r>
      <w:r w:rsidR="00D974DF">
        <w:t>short period</w:t>
      </w:r>
      <w:r w:rsidR="004D5A8D">
        <w:t>,</w:t>
      </w:r>
      <w:r w:rsidR="00D974DF">
        <w:t xml:space="preserve"> of four hours. He was treated with Lo</w:t>
      </w:r>
      <w:r w:rsidR="001941C9">
        <w:t>n</w:t>
      </w:r>
      <w:r w:rsidR="00D974DF">
        <w:t xml:space="preserve">arid </w:t>
      </w:r>
      <w:r w:rsidR="00630D70">
        <w:t>...</w:t>
      </w:r>
      <w:r w:rsidR="00D974DF">
        <w:t>”</w:t>
      </w:r>
    </w:p>
    <w:p w:rsidR="009D3506" w:rsidRDefault="00371AB0" w:rsidP="00830E21">
      <w:pPr>
        <w:pStyle w:val="JuPara"/>
      </w:pPr>
      <w:r>
        <w:fldChar w:fldCharType="begin"/>
      </w:r>
      <w:r>
        <w:instrText xml:space="preserve"> SEQ level0 \*arabic </w:instrText>
      </w:r>
      <w:r>
        <w:fldChar w:fldCharType="separate"/>
      </w:r>
      <w:r w:rsidR="005F3BDE">
        <w:rPr>
          <w:noProof/>
        </w:rPr>
        <w:t>10</w:t>
      </w:r>
      <w:r>
        <w:fldChar w:fldCharType="end"/>
      </w:r>
      <w:r>
        <w:t>.  </w:t>
      </w:r>
      <w:r w:rsidR="00830E21">
        <w:t xml:space="preserve">On 7 August 2001, the applicant </w:t>
      </w:r>
      <w:r w:rsidR="004D5A8D">
        <w:t>went to</w:t>
      </w:r>
      <w:r w:rsidR="00830E21">
        <w:t xml:space="preserve"> the </w:t>
      </w:r>
      <w:smartTag w:uri="urn:schemas-microsoft-com:office:smarttags" w:element="place">
        <w:r w:rsidR="00830E21">
          <w:t>Cephalonia</w:t>
        </w:r>
      </w:smartTag>
      <w:r w:rsidR="00830E21">
        <w:t xml:space="preserve"> </w:t>
      </w:r>
      <w:r w:rsidR="004D5A8D">
        <w:t>p</w:t>
      </w:r>
      <w:r w:rsidR="00830E21">
        <w:t>rosecutor</w:t>
      </w:r>
      <w:r w:rsidR="00E81900">
        <w:t>'</w:t>
      </w:r>
      <w:r w:rsidR="00830E21">
        <w:t xml:space="preserve">s </w:t>
      </w:r>
      <w:r w:rsidR="004D5A8D">
        <w:t>o</w:t>
      </w:r>
      <w:r w:rsidR="00830E21">
        <w:t xml:space="preserve">ffice. </w:t>
      </w:r>
      <w:r w:rsidR="00535C44">
        <w:t xml:space="preserve">He </w:t>
      </w:r>
      <w:r w:rsidR="004D5A8D">
        <w:t xml:space="preserve">was </w:t>
      </w:r>
      <w:r w:rsidR="00535C44">
        <w:t>intend</w:t>
      </w:r>
      <w:r w:rsidR="004D5A8D">
        <w:t>ing</w:t>
      </w:r>
      <w:r w:rsidR="00535C44">
        <w:t xml:space="preserve"> to lodge a complaint against the policemen involved in the alleged beating but the </w:t>
      </w:r>
      <w:r w:rsidR="004D5A8D">
        <w:t>p</w:t>
      </w:r>
      <w:r w:rsidR="00535C44">
        <w:t xml:space="preserve">rosecutor was </w:t>
      </w:r>
      <w:r w:rsidR="004D5A8D">
        <w:t xml:space="preserve">not in his </w:t>
      </w:r>
      <w:r w:rsidR="00535C44">
        <w:t xml:space="preserve">office. The applicant alleged that the </w:t>
      </w:r>
      <w:r w:rsidR="004D5A8D">
        <w:t>p</w:t>
      </w:r>
      <w:r w:rsidR="00535C44">
        <w:t>rosecutor</w:t>
      </w:r>
      <w:r w:rsidR="00E81900">
        <w:t>'</w:t>
      </w:r>
      <w:r w:rsidR="004D5A8D">
        <w:t>s secretary</w:t>
      </w:r>
      <w:r w:rsidR="00535C44">
        <w:t xml:space="preserve"> was so </w:t>
      </w:r>
      <w:r w:rsidR="007021FE">
        <w:t>struck</w:t>
      </w:r>
      <w:r w:rsidR="00535C44">
        <w:t xml:space="preserve"> by </w:t>
      </w:r>
      <w:r w:rsidR="000422E3">
        <w:t xml:space="preserve">the bruises on his face that she called the police station and asked the policemen to </w:t>
      </w:r>
      <w:r w:rsidR="007021FE">
        <w:t>leave him alone in future</w:t>
      </w:r>
      <w:r w:rsidR="000422E3">
        <w:t xml:space="preserve">. </w:t>
      </w:r>
      <w:r w:rsidR="00C32A18">
        <w:t xml:space="preserve">The applicant did not submit a complaint on that </w:t>
      </w:r>
      <w:r w:rsidR="007021FE">
        <w:t>occasion</w:t>
      </w:r>
      <w:r w:rsidR="00C32A18">
        <w:t>.</w:t>
      </w:r>
    </w:p>
    <w:p w:rsidR="009D3506" w:rsidRDefault="0000618E" w:rsidP="00830E21">
      <w:pPr>
        <w:pStyle w:val="JuPara"/>
      </w:pPr>
      <w:r>
        <w:fldChar w:fldCharType="begin"/>
      </w:r>
      <w:r>
        <w:instrText xml:space="preserve"> SEQ level0 \*arabic </w:instrText>
      </w:r>
      <w:r>
        <w:fldChar w:fldCharType="separate"/>
      </w:r>
      <w:r w:rsidR="005F3BDE">
        <w:rPr>
          <w:noProof/>
        </w:rPr>
        <w:t>11</w:t>
      </w:r>
      <w:r>
        <w:fldChar w:fldCharType="end"/>
      </w:r>
      <w:r>
        <w:t>.  </w:t>
      </w:r>
      <w:r w:rsidR="009D3506">
        <w:t xml:space="preserve">On 5 September 2001, the applicant was arrested by police officer N.K. because he </w:t>
      </w:r>
      <w:r w:rsidR="00524054">
        <w:t>could not</w:t>
      </w:r>
      <w:r w:rsidR="00C32A18">
        <w:t xml:space="preserve"> provide a </w:t>
      </w:r>
      <w:r w:rsidR="007021FE">
        <w:t xml:space="preserve">receipt to show </w:t>
      </w:r>
      <w:r w:rsidR="00C32A18">
        <w:t xml:space="preserve">that he had bought the </w:t>
      </w:r>
      <w:r w:rsidR="007021FE">
        <w:t>mobile</w:t>
      </w:r>
      <w:r w:rsidR="00C32A18">
        <w:t xml:space="preserve"> phone and the police officer thought he had stolen it</w:t>
      </w:r>
      <w:r w:rsidR="00524054">
        <w:t>.</w:t>
      </w:r>
      <w:r w:rsidR="00E02CF4">
        <w:t xml:space="preserve"> He was taken to the police station</w:t>
      </w:r>
      <w:r w:rsidR="007021FE">
        <w:t xml:space="preserve">, questioned </w:t>
      </w:r>
      <w:r w:rsidR="00C32A18">
        <w:t>and released again</w:t>
      </w:r>
      <w:r w:rsidR="00E02CF4">
        <w:t>.</w:t>
      </w:r>
    </w:p>
    <w:p w:rsidR="00524054" w:rsidRDefault="0000618E" w:rsidP="00830E21">
      <w:pPr>
        <w:pStyle w:val="JuPara"/>
      </w:pPr>
      <w:r>
        <w:fldChar w:fldCharType="begin"/>
      </w:r>
      <w:r>
        <w:instrText xml:space="preserve"> SEQ level0 \*arabic </w:instrText>
      </w:r>
      <w:r>
        <w:fldChar w:fldCharType="separate"/>
      </w:r>
      <w:r w:rsidR="005F3BDE">
        <w:rPr>
          <w:noProof/>
        </w:rPr>
        <w:t>12</w:t>
      </w:r>
      <w:r>
        <w:fldChar w:fldCharType="end"/>
      </w:r>
      <w:r>
        <w:t>.  </w:t>
      </w:r>
      <w:r w:rsidR="00244B19">
        <w:t xml:space="preserve">On 27, 28 and 29 September 2001, two local newspapers published a statement made </w:t>
      </w:r>
      <w:r w:rsidR="00613B81">
        <w:t xml:space="preserve">on 25 September </w:t>
      </w:r>
      <w:r w:rsidR="007C05F7">
        <w:t xml:space="preserve">2001 </w:t>
      </w:r>
      <w:r w:rsidR="00244B19">
        <w:t xml:space="preserve">by the World Organisation Against Torture (OMTC) which denounced the </w:t>
      </w:r>
      <w:r w:rsidR="00B32C8F">
        <w:t xml:space="preserve">alleged </w:t>
      </w:r>
      <w:r w:rsidR="00244B19">
        <w:t>ill-treatment of the appl</w:t>
      </w:r>
      <w:r w:rsidR="00BF666D">
        <w:t>icant</w:t>
      </w:r>
      <w:r w:rsidR="00244B19">
        <w:t xml:space="preserve">. </w:t>
      </w:r>
      <w:r w:rsidR="00BF666D">
        <w:t xml:space="preserve">The statement, whose title read </w:t>
      </w:r>
      <w:r w:rsidR="00E81900">
        <w:t>'</w:t>
      </w:r>
      <w:r w:rsidR="00BF666D">
        <w:t xml:space="preserve">Appeal of the OMTC in relation to the ill-treatment of two Roma youth in Argostoli – </w:t>
      </w:r>
      <w:r w:rsidR="00A566ED">
        <w:t>t</w:t>
      </w:r>
      <w:r w:rsidR="00BF666D">
        <w:t>wo Roma in the Cephalonia slaughterhouse</w:t>
      </w:r>
      <w:r w:rsidR="00E81900">
        <w:t>'</w:t>
      </w:r>
      <w:r w:rsidR="00BF666D">
        <w:t xml:space="preserve">, </w:t>
      </w:r>
      <w:r w:rsidR="006D1246">
        <w:t xml:space="preserve">indicated that the [applicant], who had been </w:t>
      </w:r>
      <w:r w:rsidR="003D5E3F">
        <w:t xml:space="preserve">questioned in connection with </w:t>
      </w:r>
      <w:r w:rsidR="006D1246">
        <w:t xml:space="preserve">a theft, </w:t>
      </w:r>
      <w:r w:rsidR="003D5E3F">
        <w:t>was punched and slapped hard in</w:t>
      </w:r>
      <w:r w:rsidR="006D1246">
        <w:t xml:space="preserve"> the face by a policeman whose first name was Nikos, in the presence of the commander of the police station.</w:t>
      </w:r>
    </w:p>
    <w:p w:rsidR="00C74995" w:rsidRDefault="00371AB0" w:rsidP="00830E21">
      <w:pPr>
        <w:pStyle w:val="JuPara"/>
      </w:pPr>
      <w:r>
        <w:fldChar w:fldCharType="begin"/>
      </w:r>
      <w:r>
        <w:instrText xml:space="preserve"> SEQ level0 \*arabic </w:instrText>
      </w:r>
      <w:r>
        <w:fldChar w:fldCharType="separate"/>
      </w:r>
      <w:r w:rsidR="005F3BDE">
        <w:rPr>
          <w:noProof/>
        </w:rPr>
        <w:t>13</w:t>
      </w:r>
      <w:r>
        <w:fldChar w:fldCharType="end"/>
      </w:r>
      <w:r>
        <w:t>.  </w:t>
      </w:r>
      <w:r w:rsidR="00830E21">
        <w:t xml:space="preserve">On 8 October </w:t>
      </w:r>
      <w:r w:rsidR="003B4757">
        <w:t>2001, the applicant</w:t>
      </w:r>
      <w:r w:rsidR="00830E21">
        <w:t xml:space="preserve"> </w:t>
      </w:r>
      <w:r w:rsidR="003D5E3F">
        <w:t>lodged a complaint</w:t>
      </w:r>
      <w:r w:rsidR="00830E21">
        <w:t xml:space="preserve"> </w:t>
      </w:r>
      <w:r w:rsidR="00D9787E">
        <w:t xml:space="preserve">with the </w:t>
      </w:r>
      <w:smartTag w:uri="urn:schemas-microsoft-com:office:smarttags" w:element="place">
        <w:r w:rsidR="00D9787E">
          <w:t>Cephalonia</w:t>
        </w:r>
      </w:smartTag>
      <w:r w:rsidR="00D9787E">
        <w:t xml:space="preserve"> </w:t>
      </w:r>
      <w:r w:rsidR="003D5E3F">
        <w:t>p</w:t>
      </w:r>
      <w:r w:rsidR="00D9787E">
        <w:t>rosecutor</w:t>
      </w:r>
      <w:r w:rsidR="00E81900">
        <w:t>'</w:t>
      </w:r>
      <w:r w:rsidR="00D9787E">
        <w:t xml:space="preserve">s </w:t>
      </w:r>
      <w:r w:rsidR="003D5E3F">
        <w:t>o</w:t>
      </w:r>
      <w:r w:rsidR="00D9787E">
        <w:t xml:space="preserve">ffice </w:t>
      </w:r>
      <w:r w:rsidR="003D5E3F">
        <w:t>that he had been</w:t>
      </w:r>
      <w:r w:rsidR="00830E21">
        <w:t xml:space="preserve"> ill-treat</w:t>
      </w:r>
      <w:r w:rsidR="003D5E3F">
        <w:t>ed</w:t>
      </w:r>
      <w:r w:rsidR="00830E21">
        <w:t xml:space="preserve"> </w:t>
      </w:r>
      <w:r w:rsidR="00D9787E">
        <w:t xml:space="preserve">at the police station </w:t>
      </w:r>
      <w:r w:rsidR="000422E3">
        <w:t xml:space="preserve">on 5 August 2001 </w:t>
      </w:r>
      <w:r w:rsidR="00830E21">
        <w:t xml:space="preserve">and </w:t>
      </w:r>
      <w:r w:rsidR="00FE20C2">
        <w:t xml:space="preserve">sought to join </w:t>
      </w:r>
      <w:r w:rsidR="007C05F7">
        <w:t xml:space="preserve">the proceedings as a civil party claiming damages, </w:t>
      </w:r>
      <w:r w:rsidR="00830E21">
        <w:t xml:space="preserve">jointly with his father. The complaint was against the police station commander and anyone else involved. </w:t>
      </w:r>
      <w:r w:rsidR="003D5E3F">
        <w:t>In his complaint t</w:t>
      </w:r>
      <w:r w:rsidR="00AB31FC">
        <w:t xml:space="preserve">he applicant described his </w:t>
      </w:r>
      <w:r w:rsidR="003D5E3F">
        <w:t>inter</w:t>
      </w:r>
      <w:r w:rsidR="007C05F7">
        <w:t>rogation</w:t>
      </w:r>
      <w:r w:rsidR="003D5E3F">
        <w:t xml:space="preserve">, </w:t>
      </w:r>
      <w:r w:rsidR="00AB31FC">
        <w:t xml:space="preserve">which had lasted approximately one hour. He specified that </w:t>
      </w:r>
      <w:r w:rsidR="003D5E3F">
        <w:t xml:space="preserve">when he was </w:t>
      </w:r>
      <w:r w:rsidR="00AB31FC">
        <w:t xml:space="preserve">unable to answer the questions asked by the policemen one of them started punching him violently </w:t>
      </w:r>
      <w:r w:rsidR="00F12BDF">
        <w:t xml:space="preserve">and persistently </w:t>
      </w:r>
      <w:r w:rsidR="003D5E3F">
        <w:t>in</w:t>
      </w:r>
      <w:r w:rsidR="00AB31FC">
        <w:t xml:space="preserve"> the head</w:t>
      </w:r>
      <w:r w:rsidR="003D5E3F">
        <w:t>,</w:t>
      </w:r>
      <w:r w:rsidR="00AB31FC">
        <w:t xml:space="preserve"> </w:t>
      </w:r>
      <w:r w:rsidR="00F12BDF">
        <w:t xml:space="preserve">trying to make him confess. </w:t>
      </w:r>
      <w:r w:rsidR="003D5E3F">
        <w:t>T</w:t>
      </w:r>
      <w:r w:rsidR="00F12BDF">
        <w:t xml:space="preserve">he commander </w:t>
      </w:r>
      <w:r w:rsidR="003D5E3F">
        <w:t xml:space="preserve">continued to question </w:t>
      </w:r>
      <w:r w:rsidR="00F12BDF">
        <w:t>him</w:t>
      </w:r>
      <w:r w:rsidR="003D5E3F">
        <w:t xml:space="preserve"> while he was being beaten</w:t>
      </w:r>
      <w:r w:rsidR="00293660">
        <w:t xml:space="preserve">. He was released when the kiosk owner confirmed that he did not recognise him. The applicant provided as </w:t>
      </w:r>
      <w:r w:rsidR="003D5E3F">
        <w:t xml:space="preserve">a </w:t>
      </w:r>
      <w:r w:rsidR="00293660">
        <w:t>supporting document the medical c</w:t>
      </w:r>
      <w:r w:rsidR="00233E52">
        <w:t xml:space="preserve">ertificate </w:t>
      </w:r>
      <w:r w:rsidR="003D5E3F">
        <w:t>produced</w:t>
      </w:r>
      <w:r w:rsidR="00233E52">
        <w:t xml:space="preserve"> by the hospital.</w:t>
      </w:r>
    </w:p>
    <w:p w:rsidR="00D132F6" w:rsidRPr="00767CF0" w:rsidRDefault="0000618E" w:rsidP="00AE7A5C">
      <w:pPr>
        <w:pStyle w:val="JuPara"/>
      </w:pPr>
      <w:r>
        <w:fldChar w:fldCharType="begin"/>
      </w:r>
      <w:r>
        <w:instrText xml:space="preserve"> SEQ level0 \*arabic </w:instrText>
      </w:r>
      <w:r>
        <w:fldChar w:fldCharType="separate"/>
      </w:r>
      <w:r w:rsidR="005F3BDE">
        <w:rPr>
          <w:noProof/>
        </w:rPr>
        <w:t>14</w:t>
      </w:r>
      <w:r>
        <w:fldChar w:fldCharType="end"/>
      </w:r>
      <w:r>
        <w:t>.</w:t>
      </w:r>
      <w:r w:rsidR="00001448">
        <w:rPr>
          <w:rStyle w:val="FootnoteReference"/>
        </w:rPr>
        <w:footnoteReference w:id="1"/>
      </w:r>
      <w:r>
        <w:t>  </w:t>
      </w:r>
      <w:r w:rsidR="006D27A7">
        <w:t xml:space="preserve">On 21 November 2001 the </w:t>
      </w:r>
      <w:r w:rsidR="002237B9">
        <w:t xml:space="preserve">Director of the Cephalonia Police Directorate </w:t>
      </w:r>
      <w:r w:rsidR="006D27A7">
        <w:t>ordered a sworn administrative investigation (“</w:t>
      </w:r>
      <w:r w:rsidR="0074183E" w:rsidRPr="00FE20C2">
        <w:rPr>
          <w:i/>
        </w:rPr>
        <w:t xml:space="preserve">Enorki Dioikitiki Exetasi </w:t>
      </w:r>
      <w:r w:rsidR="006D27A7" w:rsidRPr="00FE20C2">
        <w:rPr>
          <w:i/>
        </w:rPr>
        <w:t>EDE</w:t>
      </w:r>
      <w:r w:rsidR="006D27A7">
        <w:t xml:space="preserve">”), which was conducted by </w:t>
      </w:r>
      <w:r w:rsidR="006D27A7" w:rsidRPr="00767CF0">
        <w:t xml:space="preserve">the </w:t>
      </w:r>
      <w:r w:rsidR="0061078C" w:rsidRPr="00767CF0">
        <w:t xml:space="preserve">Deputy </w:t>
      </w:r>
      <w:r w:rsidR="006D27A7" w:rsidRPr="00767CF0">
        <w:t>Di</w:t>
      </w:r>
      <w:r w:rsidR="0061078C" w:rsidRPr="00767CF0">
        <w:t xml:space="preserve">rector of </w:t>
      </w:r>
      <w:r w:rsidR="00D132F6" w:rsidRPr="00767CF0">
        <w:t xml:space="preserve">the </w:t>
      </w:r>
      <w:r w:rsidR="0061078C" w:rsidRPr="00767CF0">
        <w:t>Cephalonia</w:t>
      </w:r>
      <w:r w:rsidR="001941C9" w:rsidRPr="00767CF0">
        <w:t xml:space="preserve"> </w:t>
      </w:r>
      <w:r w:rsidR="00D132F6" w:rsidRPr="00767CF0">
        <w:t>Police Directorate, being the hierarchical superior authority to the Argostoli police and situated in the same building.</w:t>
      </w:r>
    </w:p>
    <w:p w:rsidR="0061078C" w:rsidRPr="00767CF0" w:rsidRDefault="0061078C" w:rsidP="006D27A7">
      <w:pPr>
        <w:pStyle w:val="JuPara"/>
      </w:pPr>
      <w:r w:rsidRPr="00767CF0">
        <w:fldChar w:fldCharType="begin"/>
      </w:r>
      <w:r w:rsidRPr="00767CF0">
        <w:instrText xml:space="preserve"> SEQ level0 \*arabic </w:instrText>
      </w:r>
      <w:r w:rsidRPr="00767CF0">
        <w:fldChar w:fldCharType="separate"/>
      </w:r>
      <w:r w:rsidR="005F3BDE">
        <w:rPr>
          <w:noProof/>
        </w:rPr>
        <w:t>15</w:t>
      </w:r>
      <w:r w:rsidRPr="00767CF0">
        <w:fldChar w:fldCharType="end"/>
      </w:r>
      <w:r>
        <w:rPr>
          <w:b/>
        </w:rPr>
        <w:t>.  </w:t>
      </w:r>
      <w:r w:rsidR="00D132F6" w:rsidRPr="00767CF0">
        <w:t xml:space="preserve">During the </w:t>
      </w:r>
      <w:smartTag w:uri="urn:schemas-microsoft-com:office:smarttags" w:element="place">
        <w:smartTag w:uri="urn:schemas-microsoft-com:office:smarttags" w:element="City">
          <w:r w:rsidR="00D132F6" w:rsidRPr="00767CF0">
            <w:t>EDE</w:t>
          </w:r>
        </w:smartTag>
      </w:smartTag>
      <w:r w:rsidR="00D132F6" w:rsidRPr="00767CF0">
        <w:t>, on</w:t>
      </w:r>
      <w:r w:rsidR="00C16EED" w:rsidRPr="00767CF0">
        <w:t xml:space="preserve"> 2 May 2002, the kiosk owner was </w:t>
      </w:r>
      <w:r w:rsidR="00894F7E" w:rsidRPr="00767CF0">
        <w:t>summo</w:t>
      </w:r>
      <w:r w:rsidR="00D132F6" w:rsidRPr="00767CF0">
        <w:t>ned to testify before the Deputy</w:t>
      </w:r>
      <w:r w:rsidR="00894F7E" w:rsidRPr="00767CF0">
        <w:t xml:space="preserve"> Dir</w:t>
      </w:r>
      <w:r w:rsidR="00D132F6" w:rsidRPr="00767CF0">
        <w:t xml:space="preserve">ector. He submitted </w:t>
      </w:r>
      <w:r w:rsidR="00D132F6" w:rsidRPr="00767CF0">
        <w:rPr>
          <w:i/>
        </w:rPr>
        <w:t>inter alia</w:t>
      </w:r>
      <w:r w:rsidR="00894F7E" w:rsidRPr="00767CF0">
        <w:t>:</w:t>
      </w:r>
    </w:p>
    <w:p w:rsidR="00894F7E" w:rsidRPr="00767CF0" w:rsidRDefault="00894F7E" w:rsidP="00894F7E">
      <w:pPr>
        <w:pStyle w:val="JuQuot"/>
      </w:pPr>
      <w:r w:rsidRPr="00767CF0">
        <w:t>“</w:t>
      </w:r>
      <w:r w:rsidR="00630D70">
        <w:t>...</w:t>
      </w:r>
      <w:r w:rsidRPr="00767CF0">
        <w:t xml:space="preserve"> as I have been informed, the previous evening the victim [the applicant] had fallen down and injured himself or had been involved in a brawl with persons of the same race with him </w:t>
      </w:r>
      <w:r w:rsidR="00630D70">
        <w:t>...</w:t>
      </w:r>
      <w:r w:rsidRPr="00767CF0">
        <w:t>”.</w:t>
      </w:r>
    </w:p>
    <w:p w:rsidR="00C74995" w:rsidRDefault="006D27A7" w:rsidP="006D27A7">
      <w:pPr>
        <w:pStyle w:val="JuPara"/>
      </w:pPr>
      <w:r>
        <w:fldChar w:fldCharType="begin"/>
      </w:r>
      <w:r>
        <w:instrText xml:space="preserve"> SEQ level0 \*arabic </w:instrText>
      </w:r>
      <w:r>
        <w:fldChar w:fldCharType="separate"/>
      </w:r>
      <w:r w:rsidR="005F3BDE">
        <w:rPr>
          <w:noProof/>
        </w:rPr>
        <w:t>16</w:t>
      </w:r>
      <w:r>
        <w:fldChar w:fldCharType="end"/>
      </w:r>
      <w:r>
        <w:t>.  </w:t>
      </w:r>
      <w:r w:rsidR="00AD0A95">
        <w:t xml:space="preserve">On 15 May 2002 </w:t>
      </w:r>
      <w:r>
        <w:t xml:space="preserve">the </w:t>
      </w:r>
      <w:r w:rsidR="000E2ABE" w:rsidRPr="00767CF0">
        <w:t>Deputy Director, who had now been promoted to</w:t>
      </w:r>
      <w:r w:rsidR="00767CF0">
        <w:t xml:space="preserve"> </w:t>
      </w:r>
      <w:r>
        <w:t>Director of the Cephalonia Police Directorate</w:t>
      </w:r>
      <w:r w:rsidR="000E2ABE">
        <w:t>,</w:t>
      </w:r>
      <w:r>
        <w:t xml:space="preserve"> concluded the </w:t>
      </w:r>
      <w:smartTag w:uri="urn:schemas-microsoft-com:office:smarttags" w:element="place">
        <w:smartTag w:uri="urn:schemas-microsoft-com:office:smarttags" w:element="City">
          <w:r>
            <w:t>EDE</w:t>
          </w:r>
        </w:smartTag>
      </w:smartTag>
      <w:r w:rsidR="00072B29">
        <w:t>,</w:t>
      </w:r>
      <w:r>
        <w:t xml:space="preserve"> </w:t>
      </w:r>
      <w:r w:rsidR="00AD0A95">
        <w:t>arguing that the applicant</w:t>
      </w:r>
      <w:r w:rsidR="00E81900">
        <w:t>'</w:t>
      </w:r>
      <w:r w:rsidR="00AD0A95">
        <w:t>s</w:t>
      </w:r>
      <w:r>
        <w:t xml:space="preserve"> allegations were “manifestly </w:t>
      </w:r>
      <w:r w:rsidR="00863507">
        <w:t>ill-</w:t>
      </w:r>
      <w:r>
        <w:t xml:space="preserve">founded” and recommended </w:t>
      </w:r>
      <w:r w:rsidR="00072B29">
        <w:t xml:space="preserve">that </w:t>
      </w:r>
      <w:r>
        <w:t>no disciplinary action be taken.</w:t>
      </w:r>
    </w:p>
    <w:p w:rsidR="006945CF" w:rsidRDefault="00371AB0" w:rsidP="00830E21">
      <w:pPr>
        <w:pStyle w:val="JuPara"/>
      </w:pPr>
      <w:r>
        <w:fldChar w:fldCharType="begin"/>
      </w:r>
      <w:r>
        <w:instrText xml:space="preserve"> SEQ level0 \*arabic </w:instrText>
      </w:r>
      <w:r>
        <w:fldChar w:fldCharType="separate"/>
      </w:r>
      <w:r w:rsidR="005F3BDE">
        <w:rPr>
          <w:noProof/>
        </w:rPr>
        <w:t>17</w:t>
      </w:r>
      <w:r>
        <w:fldChar w:fldCharType="end"/>
      </w:r>
      <w:r>
        <w:t>.  </w:t>
      </w:r>
      <w:r w:rsidR="006945CF">
        <w:t>Acc</w:t>
      </w:r>
      <w:r w:rsidR="00F123D7">
        <w:t xml:space="preserve">ording to the findings of the </w:t>
      </w:r>
      <w:smartTag w:uri="urn:schemas-microsoft-com:office:smarttags" w:element="place">
        <w:smartTag w:uri="urn:schemas-microsoft-com:office:smarttags" w:element="City">
          <w:r w:rsidR="00F123D7">
            <w:t>EDE</w:t>
          </w:r>
        </w:smartTag>
      </w:smartTag>
      <w:r w:rsidR="006945CF">
        <w:t>:</w:t>
      </w:r>
    </w:p>
    <w:p w:rsidR="006945CF" w:rsidRDefault="006945CF" w:rsidP="006F0AA2">
      <w:pPr>
        <w:pStyle w:val="JuQuot"/>
      </w:pPr>
      <w:r>
        <w:t>“</w:t>
      </w:r>
      <w:r w:rsidR="00630D70">
        <w:t>...</w:t>
      </w:r>
      <w:r>
        <w:t xml:space="preserve"> al</w:t>
      </w:r>
      <w:r w:rsidR="00AD0A95">
        <w:t xml:space="preserve">l the allegations in the </w:t>
      </w:r>
      <w:r>
        <w:t xml:space="preserve">denunciation dated 25 September 2001 </w:t>
      </w:r>
      <w:r w:rsidR="00072B29">
        <w:t>by</w:t>
      </w:r>
      <w:r>
        <w:t xml:space="preserve"> the Wor</w:t>
      </w:r>
      <w:r w:rsidR="00AC0507">
        <w:t>ld Organisation Against Torture</w:t>
      </w:r>
      <w:r>
        <w:t xml:space="preserve">, the attached press releases, the letters </w:t>
      </w:r>
      <w:r w:rsidR="00A566ED">
        <w:t>from</w:t>
      </w:r>
      <w:r>
        <w:t xml:space="preserve"> British citizens, the Amnesty International </w:t>
      </w:r>
      <w:r w:rsidR="00072B29">
        <w:t xml:space="preserve">letter </w:t>
      </w:r>
      <w:r>
        <w:t xml:space="preserve">and letters </w:t>
      </w:r>
      <w:r w:rsidR="00072B29">
        <w:t>from</w:t>
      </w:r>
      <w:r>
        <w:t xml:space="preserve"> other agencies are false and do not contain a </w:t>
      </w:r>
      <w:r w:rsidR="00072B29">
        <w:t>grain</w:t>
      </w:r>
      <w:r>
        <w:t xml:space="preserve"> of truth, which is proved by the </w:t>
      </w:r>
      <w:smartTag w:uri="urn:schemas-microsoft-com:office:smarttags" w:element="PersonName">
        <w:r>
          <w:t>test</w:t>
        </w:r>
      </w:smartTag>
      <w:r>
        <w:t xml:space="preserve">imonies of the police officers, citizens and the Roma </w:t>
      </w:r>
      <w:r w:rsidR="00072B29">
        <w:t xml:space="preserve">people </w:t>
      </w:r>
      <w:r>
        <w:t>themselves who were allegedly tortured and ill-treated by police officers. They are also refuted by the documents attached hereto</w:t>
      </w:r>
      <w:r w:rsidR="007C05F7">
        <w:t>:</w:t>
      </w:r>
      <w:r>
        <w:t xml:space="preserve"> the hospital</w:t>
      </w:r>
      <w:r w:rsidR="00E81900">
        <w:t>'</w:t>
      </w:r>
      <w:r>
        <w:t>s medical certificate</w:t>
      </w:r>
      <w:r w:rsidR="00072B29">
        <w:t>, and so on</w:t>
      </w:r>
      <w:r>
        <w:t>.</w:t>
      </w:r>
    </w:p>
    <w:p w:rsidR="006945CF" w:rsidRDefault="00630D70" w:rsidP="006F0AA2">
      <w:pPr>
        <w:pStyle w:val="JuQuot"/>
      </w:pPr>
      <w:r>
        <w:t>...</w:t>
      </w:r>
    </w:p>
    <w:p w:rsidR="00C74995" w:rsidRDefault="006945CF" w:rsidP="006F0AA2">
      <w:pPr>
        <w:pStyle w:val="JuQuot"/>
      </w:pPr>
      <w:r>
        <w:t>All</w:t>
      </w:r>
      <w:r w:rsidR="00AD0A95">
        <w:t xml:space="preserve"> the accusations against </w:t>
      </w:r>
      <w:r w:rsidR="00A17E29">
        <w:t>C</w:t>
      </w:r>
      <w:r w:rsidR="00AD0A95">
        <w:t>ommander</w:t>
      </w:r>
      <w:r>
        <w:t xml:space="preserve"> G.H. are false, as during the conduct of </w:t>
      </w:r>
      <w:r w:rsidR="006F0AA2">
        <w:t xml:space="preserve">a summary investigation into the theft of a large </w:t>
      </w:r>
      <w:r w:rsidR="00A17E29">
        <w:t>sum of money</w:t>
      </w:r>
      <w:r w:rsidR="006F0AA2">
        <w:t xml:space="preserve"> (GRD 9</w:t>
      </w:r>
      <w:r w:rsidR="00072B29">
        <w:t>,</w:t>
      </w:r>
      <w:r w:rsidR="006F0AA2">
        <w:t>500</w:t>
      </w:r>
      <w:r w:rsidR="00072B29">
        <w:t>,</w:t>
      </w:r>
      <w:r w:rsidR="006F0AA2">
        <w:t>000) from P.P. he acted in line with his official duties and according to the rules of the Code of Criminal Procedure, in an effort to investigate whether the charge was true or false, protecting the suspects and respecting all personal data and behaving impeccably, kindly and with respect for the person of all suspects.</w:t>
      </w:r>
    </w:p>
    <w:p w:rsidR="006F0AA2" w:rsidRDefault="006F0AA2" w:rsidP="006F0AA2">
      <w:pPr>
        <w:pStyle w:val="JuQuot"/>
      </w:pPr>
      <w:r>
        <w:t xml:space="preserve">The accusations against </w:t>
      </w:r>
      <w:r w:rsidR="00863507">
        <w:t>S</w:t>
      </w:r>
      <w:r>
        <w:t>ergeant N.K. are also false, as he acted in line with his official duties, kindly and with respect for the suspects</w:t>
      </w:r>
      <w:r w:rsidR="00E81900">
        <w:t>'</w:t>
      </w:r>
      <w:r>
        <w:t xml:space="preserve"> </w:t>
      </w:r>
      <w:r w:rsidR="00A17E29">
        <w:t>person,</w:t>
      </w:r>
      <w:r>
        <w:t xml:space="preserve"> during the investigation of the case of theft, always according to the explicit orders and instru</w:t>
      </w:r>
      <w:r w:rsidR="00AD0A95">
        <w:t xml:space="preserve">ctions of his commander, </w:t>
      </w:r>
      <w:r w:rsidR="00863507">
        <w:t>C</w:t>
      </w:r>
      <w:r w:rsidR="00AD0A95">
        <w:t>ommander</w:t>
      </w:r>
      <w:r>
        <w:t xml:space="preserve"> G.H.”</w:t>
      </w:r>
    </w:p>
    <w:p w:rsidR="00830E21" w:rsidRDefault="00F123D7" w:rsidP="00830E21">
      <w:pPr>
        <w:pStyle w:val="JuPara"/>
      </w:pPr>
      <w:r>
        <w:fldChar w:fldCharType="begin"/>
      </w:r>
      <w:r>
        <w:instrText xml:space="preserve"> SEQ level0 \*arabic </w:instrText>
      </w:r>
      <w:r>
        <w:fldChar w:fldCharType="separate"/>
      </w:r>
      <w:r w:rsidR="005F3BDE">
        <w:rPr>
          <w:noProof/>
        </w:rPr>
        <w:t>18</w:t>
      </w:r>
      <w:r>
        <w:fldChar w:fldCharType="end"/>
      </w:r>
      <w:r>
        <w:t>.  </w:t>
      </w:r>
      <w:r w:rsidR="00EB3398">
        <w:t xml:space="preserve">As regards the </w:t>
      </w:r>
      <w:r w:rsidR="00AD0A95">
        <w:t>applicant</w:t>
      </w:r>
      <w:r w:rsidR="00E81900">
        <w:t>'</w:t>
      </w:r>
      <w:r w:rsidR="00AD0A95">
        <w:t xml:space="preserve">s </w:t>
      </w:r>
      <w:r w:rsidR="00EB3398">
        <w:t>complaint</w:t>
      </w:r>
      <w:r w:rsidR="00AD0A95">
        <w:t xml:space="preserve"> of 8 October 2001</w:t>
      </w:r>
      <w:r w:rsidR="00EB3398">
        <w:t xml:space="preserve">, </w:t>
      </w:r>
      <w:r w:rsidR="009D15B9">
        <w:t xml:space="preserve">the </w:t>
      </w:r>
      <w:r w:rsidR="008117E1">
        <w:t>request</w:t>
      </w:r>
      <w:r w:rsidR="006F72E7">
        <w:t xml:space="preserve"> </w:t>
      </w:r>
      <w:r w:rsidR="0017413E">
        <w:t>from</w:t>
      </w:r>
      <w:r w:rsidR="006F72E7">
        <w:t xml:space="preserve"> the Cephalonia Indictment Division dated 19 December 2003</w:t>
      </w:r>
      <w:r w:rsidR="009D15B9">
        <w:t xml:space="preserve"> </w:t>
      </w:r>
      <w:r w:rsidR="00830E21">
        <w:t xml:space="preserve">was dismissive of the charges against the commander </w:t>
      </w:r>
      <w:r w:rsidR="009D15B9">
        <w:t>of the police station and another</w:t>
      </w:r>
      <w:r w:rsidR="00830E21">
        <w:t xml:space="preserve"> police officer</w:t>
      </w:r>
      <w:r w:rsidR="009C3FF2">
        <w:t>. The Indictment Division</w:t>
      </w:r>
      <w:r w:rsidR="00830E21">
        <w:t xml:space="preserve"> recommended</w:t>
      </w:r>
      <w:r w:rsidR="00502C0A">
        <w:t xml:space="preserve">, however, </w:t>
      </w:r>
      <w:r w:rsidR="008117E1">
        <w:t xml:space="preserve">that </w:t>
      </w:r>
      <w:r w:rsidR="00830E21">
        <w:t>police officer</w:t>
      </w:r>
      <w:r w:rsidR="00502C0A">
        <w:t xml:space="preserve"> N.K. </w:t>
      </w:r>
      <w:r w:rsidR="008117E1">
        <w:t>be</w:t>
      </w:r>
      <w:r w:rsidR="00502C0A">
        <w:t xml:space="preserve"> charge</w:t>
      </w:r>
      <w:r w:rsidR="008117E1">
        <w:t>d with</w:t>
      </w:r>
      <w:r w:rsidR="00502C0A">
        <w:t xml:space="preserve"> ill-treat</w:t>
      </w:r>
      <w:r w:rsidR="008117E1">
        <w:t>ing</w:t>
      </w:r>
      <w:r w:rsidR="009D15B9">
        <w:t xml:space="preserve"> the applicant</w:t>
      </w:r>
      <w:r w:rsidR="0017413E">
        <w:t xml:space="preserve"> and tried</w:t>
      </w:r>
      <w:r w:rsidR="009D15B9">
        <w:t>.</w:t>
      </w:r>
    </w:p>
    <w:p w:rsidR="00830E21" w:rsidRDefault="00F123D7" w:rsidP="00830E21">
      <w:pPr>
        <w:pStyle w:val="JuPara"/>
      </w:pPr>
      <w:r>
        <w:fldChar w:fldCharType="begin"/>
      </w:r>
      <w:r>
        <w:instrText xml:space="preserve"> SEQ level0 \*arabic </w:instrText>
      </w:r>
      <w:r>
        <w:fldChar w:fldCharType="separate"/>
      </w:r>
      <w:r w:rsidR="005F3BDE">
        <w:rPr>
          <w:noProof/>
        </w:rPr>
        <w:t>19</w:t>
      </w:r>
      <w:r>
        <w:fldChar w:fldCharType="end"/>
      </w:r>
      <w:r>
        <w:t>.  </w:t>
      </w:r>
      <w:r w:rsidR="00830E21">
        <w:t xml:space="preserve">On 12 April 2006, the Three-Member Criminal Court of Cephalonia </w:t>
      </w:r>
      <w:r w:rsidR="008117E1">
        <w:t xml:space="preserve">convicted </w:t>
      </w:r>
      <w:r w:rsidR="00830E21">
        <w:t>police officer</w:t>
      </w:r>
      <w:r w:rsidR="0030423E">
        <w:t xml:space="preserve"> N.K.</w:t>
      </w:r>
      <w:r w:rsidR="00830E21">
        <w:t xml:space="preserve"> </w:t>
      </w:r>
      <w:r w:rsidR="008117E1">
        <w:t xml:space="preserve">and sentenced him </w:t>
      </w:r>
      <w:r w:rsidR="00830E21">
        <w:t>to three years</w:t>
      </w:r>
      <w:r w:rsidR="00E81900">
        <w:t>'</w:t>
      </w:r>
      <w:r w:rsidR="00830E21">
        <w:t xml:space="preserve"> imprisonment, commutable to a fine and suspended pending appeal. The </w:t>
      </w:r>
      <w:r w:rsidR="0017413E">
        <w:t>c</w:t>
      </w:r>
      <w:r w:rsidR="00830E21">
        <w:t xml:space="preserve">ourt also awarded </w:t>
      </w:r>
      <w:r w:rsidR="008117E1">
        <w:t xml:space="preserve">the applicant </w:t>
      </w:r>
      <w:r w:rsidR="00830E21">
        <w:t xml:space="preserve">pecuniary compensation of </w:t>
      </w:r>
      <w:r w:rsidR="0017413E">
        <w:t>fifty</w:t>
      </w:r>
      <w:r w:rsidR="008945DB">
        <w:t xml:space="preserve"> euros</w:t>
      </w:r>
      <w:r w:rsidR="00830E21">
        <w:t xml:space="preserve">. The </w:t>
      </w:r>
      <w:r w:rsidR="0017413E">
        <w:t>c</w:t>
      </w:r>
      <w:r w:rsidR="00830E21">
        <w:t>ourt concluded</w:t>
      </w:r>
      <w:r w:rsidR="004D7E15">
        <w:t>, after examin</w:t>
      </w:r>
      <w:r w:rsidR="008117E1">
        <w:t>ing</w:t>
      </w:r>
      <w:r w:rsidR="004D7E15">
        <w:t xml:space="preserve"> twelve witnesses, </w:t>
      </w:r>
      <w:r w:rsidR="00830E21">
        <w:t>that police officer</w:t>
      </w:r>
      <w:r w:rsidR="0081078F">
        <w:t xml:space="preserve"> N.K.</w:t>
      </w:r>
      <w:r w:rsidR="00830E21">
        <w:t xml:space="preserve"> had </w:t>
      </w:r>
      <w:r w:rsidR="0030423E">
        <w:t xml:space="preserve">repeatedly </w:t>
      </w:r>
      <w:r w:rsidR="00830E21">
        <w:t xml:space="preserve">punched the applicant </w:t>
      </w:r>
      <w:r w:rsidR="008117E1">
        <w:t xml:space="preserve">in the head and face </w:t>
      </w:r>
      <w:r w:rsidR="00830E21">
        <w:t xml:space="preserve">and caused him serious bodily harm in order to make him confess </w:t>
      </w:r>
      <w:r w:rsidR="008117E1">
        <w:t xml:space="preserve">to </w:t>
      </w:r>
      <w:r w:rsidR="00830E21">
        <w:t>the theft.</w:t>
      </w:r>
      <w:r w:rsidR="005B4A37">
        <w:t xml:space="preserve"> In particular, the </w:t>
      </w:r>
      <w:r w:rsidR="0017413E">
        <w:t>c</w:t>
      </w:r>
      <w:r w:rsidR="005B4A37">
        <w:t>ourt held as follows:</w:t>
      </w:r>
    </w:p>
    <w:p w:rsidR="005B4A37" w:rsidRDefault="005B4A37" w:rsidP="00FA3351">
      <w:pPr>
        <w:pStyle w:val="JuQuot"/>
      </w:pPr>
      <w:r>
        <w:t>“It transpires from the proceedings, the documents which were read, the witness</w:t>
      </w:r>
      <w:r w:rsidR="00043F65">
        <w:t xml:space="preserve"> statements</w:t>
      </w:r>
      <w:r>
        <w:t xml:space="preserve">, the </w:t>
      </w:r>
      <w:r w:rsidR="00F97FAF">
        <w:t xml:space="preserve">examination of the civil party, the </w:t>
      </w:r>
      <w:r w:rsidR="00043F65">
        <w:t>accused</w:t>
      </w:r>
      <w:r w:rsidR="00E81900">
        <w:t>'</w:t>
      </w:r>
      <w:r w:rsidR="00043F65">
        <w:t xml:space="preserve">s </w:t>
      </w:r>
      <w:r w:rsidR="00F97FAF">
        <w:t>pleading and the deliberation</w:t>
      </w:r>
      <w:r w:rsidR="008117E1">
        <w:t>,</w:t>
      </w:r>
      <w:r w:rsidR="00F97FAF">
        <w:t xml:space="preserve"> that </w:t>
      </w:r>
      <w:r w:rsidR="008117E1">
        <w:t xml:space="preserve">at midnight </w:t>
      </w:r>
      <w:r w:rsidR="00F97FAF">
        <w:t>on 4 August 2001, P.P.</w:t>
      </w:r>
      <w:r w:rsidR="00043F65">
        <w:t>, the</w:t>
      </w:r>
      <w:r w:rsidR="00F97FAF">
        <w:t xml:space="preserve"> owner of a kiosk, reported to the Argostoli </w:t>
      </w:r>
      <w:r w:rsidR="00863507">
        <w:t xml:space="preserve">police </w:t>
      </w:r>
      <w:r w:rsidR="00F97FAF">
        <w:t xml:space="preserve">the theft of a </w:t>
      </w:r>
      <w:r w:rsidR="00043F65">
        <w:t>large</w:t>
      </w:r>
      <w:r w:rsidR="00F97FAF">
        <w:t xml:space="preserve"> amount of money (</w:t>
      </w:r>
      <w:r w:rsidR="00A566ED">
        <w:t xml:space="preserve">GRD </w:t>
      </w:r>
      <w:r w:rsidR="00F97FAF">
        <w:t>9</w:t>
      </w:r>
      <w:r w:rsidR="00043F65">
        <w:t>,</w:t>
      </w:r>
      <w:r w:rsidR="00F97FAF">
        <w:t>500</w:t>
      </w:r>
      <w:r w:rsidR="00043F65">
        <w:t>,</w:t>
      </w:r>
      <w:r w:rsidR="00F97FAF">
        <w:t xml:space="preserve">000). </w:t>
      </w:r>
      <w:r w:rsidR="006D7FC4">
        <w:t>The A</w:t>
      </w:r>
      <w:r w:rsidR="00F97FAF">
        <w:t xml:space="preserve">rgostoli </w:t>
      </w:r>
      <w:r w:rsidR="00A17E29">
        <w:t xml:space="preserve">police </w:t>
      </w:r>
      <w:r w:rsidR="00043F65">
        <w:t xml:space="preserve">security department </w:t>
      </w:r>
      <w:r w:rsidR="00F97FAF">
        <w:t xml:space="preserve">carried out </w:t>
      </w:r>
      <w:r w:rsidR="006D7FC4">
        <w:t xml:space="preserve">a preliminary investigation. </w:t>
      </w:r>
      <w:r w:rsidR="00863507">
        <w:t>P</w:t>
      </w:r>
      <w:r w:rsidR="0081078F">
        <w:t>olice officers</w:t>
      </w:r>
      <w:r w:rsidR="006D7FC4">
        <w:t xml:space="preserve"> tried to find [the applicant] at the Roma encampment in Argostoli, where he lived with his sister, but he was </w:t>
      </w:r>
      <w:r w:rsidR="00043F65">
        <w:t>not there</w:t>
      </w:r>
      <w:r w:rsidR="006D7FC4">
        <w:t xml:space="preserve">. When he came back and his sister informed him that </w:t>
      </w:r>
      <w:r w:rsidR="0017413E">
        <w:t xml:space="preserve">the </w:t>
      </w:r>
      <w:r w:rsidR="008E27DA">
        <w:t>police</w:t>
      </w:r>
      <w:r w:rsidR="00043F65">
        <w:t xml:space="preserve"> were looking for him</w:t>
      </w:r>
      <w:r w:rsidR="008E27DA">
        <w:t>, he went of</w:t>
      </w:r>
      <w:r w:rsidR="006D7FC4">
        <w:t xml:space="preserve"> his own</w:t>
      </w:r>
      <w:r w:rsidR="008E27DA">
        <w:t xml:space="preserve"> free</w:t>
      </w:r>
      <w:r w:rsidR="006D7FC4">
        <w:t xml:space="preserve"> will </w:t>
      </w:r>
      <w:r w:rsidR="008E27DA">
        <w:t xml:space="preserve">to the Argostoli </w:t>
      </w:r>
      <w:r w:rsidR="00A17E29">
        <w:t xml:space="preserve">police </w:t>
      </w:r>
      <w:r w:rsidR="00043F65">
        <w:t xml:space="preserve">security department, </w:t>
      </w:r>
      <w:r w:rsidR="008E27DA">
        <w:t xml:space="preserve">where he was </w:t>
      </w:r>
      <w:r w:rsidR="00043F65">
        <w:t>questioned</w:t>
      </w:r>
      <w:r w:rsidR="008E27DA">
        <w:t xml:space="preserve"> in relation to the above-mentioned theft. The accused</w:t>
      </w:r>
      <w:r w:rsidR="00E70289">
        <w:t>,</w:t>
      </w:r>
      <w:r w:rsidR="008E27DA">
        <w:t xml:space="preserve"> who was serving as </w:t>
      </w:r>
      <w:r w:rsidR="00E971A8">
        <w:t xml:space="preserve">a </w:t>
      </w:r>
      <w:r w:rsidR="0081078F">
        <w:t>police officer</w:t>
      </w:r>
      <w:r w:rsidR="008E27DA">
        <w:t xml:space="preserve"> at </w:t>
      </w:r>
      <w:r w:rsidR="0017413E">
        <w:t>Argostoli</w:t>
      </w:r>
      <w:r w:rsidR="008E27DA">
        <w:t xml:space="preserve"> police station</w:t>
      </w:r>
      <w:r w:rsidR="0017413E">
        <w:t>,</w:t>
      </w:r>
      <w:r w:rsidR="008E27DA">
        <w:t xml:space="preserve"> of Argostoli, participated in the </w:t>
      </w:r>
      <w:r w:rsidR="00043F65">
        <w:t>questioning</w:t>
      </w:r>
      <w:r w:rsidR="008E27DA">
        <w:t xml:space="preserve">. </w:t>
      </w:r>
      <w:r w:rsidR="00E70289">
        <w:t xml:space="preserve">On 5 August 2001, in order to make the applicant confess that he had committed the theft, he punched </w:t>
      </w:r>
      <w:r w:rsidR="00A17E29">
        <w:t xml:space="preserve">him in the </w:t>
      </w:r>
      <w:r w:rsidR="00E70289">
        <w:t xml:space="preserve">head and face </w:t>
      </w:r>
      <w:r w:rsidR="00357FBE">
        <w:t>and caused him bodily harm, in particular</w:t>
      </w:r>
      <w:r w:rsidR="00043F65">
        <w:t xml:space="preserve"> a severe</w:t>
      </w:r>
      <w:r w:rsidR="00FA3351">
        <w:t xml:space="preserve"> headache, swelling and sensitivity </w:t>
      </w:r>
      <w:r w:rsidR="0017413E">
        <w:t>of</w:t>
      </w:r>
      <w:r w:rsidR="00FA3351">
        <w:t xml:space="preserve"> the nose and difficulty in </w:t>
      </w:r>
      <w:r w:rsidR="00043F65">
        <w:t>maintaining eye focus</w:t>
      </w:r>
      <w:r w:rsidR="00FA3351">
        <w:t xml:space="preserve">. Consequently, he should be </w:t>
      </w:r>
      <w:r w:rsidR="00043F65">
        <w:t>found</w:t>
      </w:r>
      <w:r w:rsidR="00FA3351">
        <w:t xml:space="preserve"> guilty”.</w:t>
      </w:r>
    </w:p>
    <w:p w:rsidR="00C74995" w:rsidRDefault="00F123D7" w:rsidP="00830E21">
      <w:pPr>
        <w:pStyle w:val="JuPara"/>
      </w:pPr>
      <w:r>
        <w:fldChar w:fldCharType="begin"/>
      </w:r>
      <w:r>
        <w:instrText xml:space="preserve"> SEQ level0 \*arabic </w:instrText>
      </w:r>
      <w:r>
        <w:fldChar w:fldCharType="separate"/>
      </w:r>
      <w:r w:rsidR="005F3BDE">
        <w:rPr>
          <w:noProof/>
        </w:rPr>
        <w:t>20</w:t>
      </w:r>
      <w:r>
        <w:fldChar w:fldCharType="end"/>
      </w:r>
      <w:r>
        <w:t>.  </w:t>
      </w:r>
      <w:r w:rsidR="00830E21">
        <w:t>The defendant appea</w:t>
      </w:r>
      <w:r w:rsidR="008945DB">
        <w:t>led against this judgment to</w:t>
      </w:r>
      <w:r w:rsidR="00830E21">
        <w:t xml:space="preserve"> the Court of Appeal of Patras.</w:t>
      </w:r>
    </w:p>
    <w:p w:rsidR="00C74995" w:rsidRDefault="00F123D7" w:rsidP="00830E21">
      <w:pPr>
        <w:pStyle w:val="JuPara"/>
      </w:pPr>
      <w:r>
        <w:fldChar w:fldCharType="begin"/>
      </w:r>
      <w:r>
        <w:instrText xml:space="preserve"> SEQ level0 \*arabic </w:instrText>
      </w:r>
      <w:r>
        <w:fldChar w:fldCharType="separate"/>
      </w:r>
      <w:r w:rsidR="005F3BDE">
        <w:rPr>
          <w:noProof/>
        </w:rPr>
        <w:t>21</w:t>
      </w:r>
      <w:r>
        <w:fldChar w:fldCharType="end"/>
      </w:r>
      <w:r>
        <w:t>.  </w:t>
      </w:r>
      <w:r w:rsidR="00830E21">
        <w:t>At the hearing of 23 February 2007, neither the applicant nor the representative of Greek Helsinki Monitor, who was one of the first</w:t>
      </w:r>
      <w:r w:rsidR="00043F65">
        <w:t>-</w:t>
      </w:r>
      <w:r w:rsidR="00830E21">
        <w:t>instance trial prosecution witnesses, were summoned to the proceedings. The hearing was then adjourned</w:t>
      </w:r>
      <w:r w:rsidR="00043F65">
        <w:t xml:space="preserve">, first to </w:t>
      </w:r>
      <w:r w:rsidR="00830E21">
        <w:t xml:space="preserve">21 September 2007 and then </w:t>
      </w:r>
      <w:r w:rsidR="00043F65">
        <w:t>to</w:t>
      </w:r>
      <w:r w:rsidR="00830E21">
        <w:t xml:space="preserve"> 1</w:t>
      </w:r>
      <w:r w:rsidR="003B2CD0">
        <w:rPr>
          <w:vertAlign w:val="superscript"/>
        </w:rPr>
        <w:t> </w:t>
      </w:r>
      <w:r w:rsidR="00830E21">
        <w:t xml:space="preserve">February 2008. It continued on 18 February 2008 </w:t>
      </w:r>
      <w:r w:rsidR="00F36156">
        <w:t xml:space="preserve">at the </w:t>
      </w:r>
      <w:r w:rsidR="00830E21">
        <w:t xml:space="preserve">request </w:t>
      </w:r>
      <w:r w:rsidR="00F36156">
        <w:t>of</w:t>
      </w:r>
      <w:r w:rsidR="00830E21">
        <w:t xml:space="preserve"> the defendant</w:t>
      </w:r>
      <w:r w:rsidR="00E81900">
        <w:t>'</w:t>
      </w:r>
      <w:r w:rsidR="00830E21">
        <w:t xml:space="preserve">s lawyer and </w:t>
      </w:r>
      <w:r w:rsidR="00F36156">
        <w:t xml:space="preserve">was </w:t>
      </w:r>
      <w:r w:rsidR="00830E21">
        <w:t xml:space="preserve">then postponed </w:t>
      </w:r>
      <w:r w:rsidR="00F36156">
        <w:t>to</w:t>
      </w:r>
      <w:r w:rsidR="00830E21">
        <w:t xml:space="preserve"> 15 April 2008 because a storm made it impossible for many out-of-town witnesses to attend.</w:t>
      </w:r>
    </w:p>
    <w:p w:rsidR="00B43891" w:rsidRDefault="00F123D7" w:rsidP="00830E21">
      <w:pPr>
        <w:pStyle w:val="JuPara"/>
      </w:pPr>
      <w:r>
        <w:fldChar w:fldCharType="begin"/>
      </w:r>
      <w:r>
        <w:instrText xml:space="preserve"> SEQ level0 \*arabic </w:instrText>
      </w:r>
      <w:r>
        <w:fldChar w:fldCharType="separate"/>
      </w:r>
      <w:r w:rsidR="005F3BDE">
        <w:rPr>
          <w:noProof/>
        </w:rPr>
        <w:t>22</w:t>
      </w:r>
      <w:r>
        <w:fldChar w:fldCharType="end"/>
      </w:r>
      <w:r>
        <w:t>.  </w:t>
      </w:r>
      <w:r w:rsidR="00830E21">
        <w:t xml:space="preserve">On 15 April 2008 the Court of Appeal </w:t>
      </w:r>
      <w:r w:rsidR="00E250FA">
        <w:t>he</w:t>
      </w:r>
      <w:r w:rsidR="004D7E15">
        <w:t xml:space="preserve">ld a hearing in the presence of the applicant and his lawyer </w:t>
      </w:r>
      <w:r w:rsidR="00F36156">
        <w:t xml:space="preserve">and </w:t>
      </w:r>
      <w:r w:rsidR="00830E21">
        <w:t>acquitted the police officer</w:t>
      </w:r>
      <w:r w:rsidR="002F314D">
        <w:t xml:space="preserve"> for lack of evidence</w:t>
      </w:r>
      <w:r w:rsidR="00830E21">
        <w:t>.</w:t>
      </w:r>
      <w:r w:rsidR="009C3FF2">
        <w:t xml:space="preserve"> </w:t>
      </w:r>
      <w:r w:rsidR="00B43891">
        <w:t>In pa</w:t>
      </w:r>
      <w:r w:rsidR="004C14AB">
        <w:t>rticular, the Court of Appeal sta</w:t>
      </w:r>
      <w:r w:rsidR="00B43891">
        <w:t>ted the following:</w:t>
      </w:r>
    </w:p>
    <w:p w:rsidR="00B43891" w:rsidRDefault="00B43891" w:rsidP="006377A7">
      <w:pPr>
        <w:pStyle w:val="JuQuot"/>
      </w:pPr>
      <w:r>
        <w:t>“</w:t>
      </w:r>
      <w:r w:rsidR="00630D70">
        <w:t>...</w:t>
      </w:r>
      <w:r>
        <w:t>The prosecution and defence witnesses</w:t>
      </w:r>
      <w:r w:rsidR="00E81900">
        <w:t>'</w:t>
      </w:r>
      <w:r>
        <w:t xml:space="preserve"> </w:t>
      </w:r>
      <w:smartTag w:uri="urn:schemas-microsoft-com:office:smarttags" w:element="PersonName">
        <w:r>
          <w:t>test</w:t>
        </w:r>
      </w:smartTag>
      <w:r>
        <w:t xml:space="preserve">imonies, the perusal of the </w:t>
      </w:r>
      <w:r w:rsidR="00F36156">
        <w:t>record</w:t>
      </w:r>
      <w:r>
        <w:t xml:space="preserve"> of the first</w:t>
      </w:r>
      <w:r w:rsidR="00F36156">
        <w:t>-</w:t>
      </w:r>
      <w:r>
        <w:t xml:space="preserve">instance trial and the documents referred to in </w:t>
      </w:r>
      <w:r w:rsidR="00F36156">
        <w:t>that record</w:t>
      </w:r>
      <w:r>
        <w:t>, the defendant</w:t>
      </w:r>
      <w:r w:rsidR="00E81900">
        <w:t>'</w:t>
      </w:r>
      <w:r>
        <w:t xml:space="preserve">s statement of defence and the overall evidence procedure gave rise to doubts as to whether the accused police officer </w:t>
      </w:r>
      <w:r w:rsidR="00F36156">
        <w:t xml:space="preserve">had </w:t>
      </w:r>
      <w:r>
        <w:t>committed the offence refe</w:t>
      </w:r>
      <w:r w:rsidR="005802BD">
        <w:t>rred to in Article 137A § 3-1 of the Criminal Code</w:t>
      </w:r>
      <w:r w:rsidR="0060279F">
        <w:t xml:space="preserve"> against Theodoros Stefanou</w:t>
      </w:r>
      <w:r w:rsidR="005802BD">
        <w:t xml:space="preserve">. </w:t>
      </w:r>
      <w:r w:rsidR="008A7A0A">
        <w:t>The Court</w:t>
      </w:r>
      <w:r w:rsidR="00E81900">
        <w:t>'</w:t>
      </w:r>
      <w:r w:rsidR="008A7A0A">
        <w:t xml:space="preserve">s doubts are reinforced by the following evidence: 1) the content of medical certificate No. 4433 of the Prefectural Hospital of Cephalonia </w:t>
      </w:r>
      <w:r w:rsidR="00630D70">
        <w:t>...</w:t>
      </w:r>
    </w:p>
    <w:p w:rsidR="008A7A0A" w:rsidRDefault="00C91992" w:rsidP="006377A7">
      <w:pPr>
        <w:pStyle w:val="JuQuot"/>
      </w:pPr>
      <w:r>
        <w:t xml:space="preserve">Besides, as </w:t>
      </w:r>
      <w:r w:rsidR="00A17E29">
        <w:t>can be seen</w:t>
      </w:r>
      <w:r>
        <w:t xml:space="preserve"> from the sworn examination report of witness P.P. (the person who reported the theft </w:t>
      </w:r>
      <w:r w:rsidR="00630D70">
        <w:t>...</w:t>
      </w:r>
      <w:r>
        <w:t xml:space="preserve">) which was read </w:t>
      </w:r>
      <w:r w:rsidR="0060279F">
        <w:t xml:space="preserve">out </w:t>
      </w:r>
      <w:r>
        <w:t xml:space="preserve">in the courtroom, when the victim arrived at the </w:t>
      </w:r>
      <w:r w:rsidR="0060279F">
        <w:t xml:space="preserve">Argostoli </w:t>
      </w:r>
      <w:r>
        <w:t>Police Security Department in the early hours o</w:t>
      </w:r>
      <w:r w:rsidR="003B2CD0">
        <w:t>f 5 </w:t>
      </w:r>
      <w:r>
        <w:t xml:space="preserve">August 2001 he had one arm bandaged, because as witness P.P. </w:t>
      </w:r>
      <w:smartTag w:uri="urn:schemas-microsoft-com:office:smarttags" w:element="PersonName">
        <w:r>
          <w:t>test</w:t>
        </w:r>
      </w:smartTag>
      <w:r>
        <w:t xml:space="preserve">ified, the victim had been involved in a fight with other Roma the previous night (4 August 2001) </w:t>
      </w:r>
      <w:r w:rsidR="00630D70">
        <w:t>...</w:t>
      </w:r>
      <w:r>
        <w:t xml:space="preserve"> </w:t>
      </w:r>
      <w:r w:rsidR="008A7A0A">
        <w:t xml:space="preserve">On the </w:t>
      </w:r>
      <w:r w:rsidR="000A262D">
        <w:t xml:space="preserve">basis of all the foregoing, it is highly probable that the bodily injuries </w:t>
      </w:r>
      <w:r w:rsidR="00A17E29">
        <w:t>at</w:t>
      </w:r>
      <w:smartTag w:uri="urn:schemas-microsoft-com:office:smarttags" w:element="PersonName">
        <w:r w:rsidR="00A17E29">
          <w:t>test</w:t>
        </w:r>
      </w:smartTag>
      <w:r w:rsidR="00A17E29">
        <w:t>ed to</w:t>
      </w:r>
      <w:r w:rsidR="000A262D">
        <w:t xml:space="preserve"> by the Cephalonia </w:t>
      </w:r>
      <w:r w:rsidR="00D92D13">
        <w:t>h</w:t>
      </w:r>
      <w:r w:rsidR="000A262D">
        <w:t xml:space="preserve">ospital certificate were caused to the victim not by the defendant, police officer N.K., but during a fight that had taken place </w:t>
      </w:r>
      <w:r w:rsidR="00A566ED">
        <w:t>on</w:t>
      </w:r>
      <w:r w:rsidR="003B2CD0">
        <w:t xml:space="preserve"> the night of 4 </w:t>
      </w:r>
      <w:r w:rsidR="00BE4A4F">
        <w:t xml:space="preserve">August 2001, in which the victim had participated actively, as </w:t>
      </w:r>
      <w:r w:rsidR="009801CF">
        <w:t xml:space="preserve">he came </w:t>
      </w:r>
      <w:r w:rsidR="00BE4A4F">
        <w:t xml:space="preserve">to the </w:t>
      </w:r>
      <w:r w:rsidR="009801CF">
        <w:t xml:space="preserve">Argostoli </w:t>
      </w:r>
      <w:r w:rsidR="00BE4A4F">
        <w:t xml:space="preserve">Police Security Department of Argostoli with </w:t>
      </w:r>
      <w:r w:rsidR="009801CF">
        <w:t>a</w:t>
      </w:r>
      <w:r w:rsidR="00BE4A4F">
        <w:t xml:space="preserve"> broken </w:t>
      </w:r>
      <w:r w:rsidR="009801CF">
        <w:t>right arm</w:t>
      </w:r>
      <w:r w:rsidR="00630D70">
        <w:t>...</w:t>
      </w:r>
      <w:r w:rsidR="00BE4A4F">
        <w:t>Furthermore, if the victim</w:t>
      </w:r>
      <w:r w:rsidR="00E81900">
        <w:t>'</w:t>
      </w:r>
      <w:r w:rsidR="00BE4A4F">
        <w:t>s bodily injur</w:t>
      </w:r>
      <w:r w:rsidR="009801CF">
        <w:t>i</w:t>
      </w:r>
      <w:r w:rsidR="00BE4A4F">
        <w:t xml:space="preserve">es had been caused by the accused police officer inside the Police Security Department and had been as violent as the victim claimed, the wounds </w:t>
      </w:r>
      <w:r w:rsidR="009801CF">
        <w:t>to</w:t>
      </w:r>
      <w:r w:rsidR="00BE4A4F">
        <w:t xml:space="preserve"> his face would have been much more serious and </w:t>
      </w:r>
      <w:r w:rsidR="00D92D13">
        <w:t xml:space="preserve">would </w:t>
      </w:r>
      <w:r w:rsidR="00BE4A4F">
        <w:t>certainly</w:t>
      </w:r>
      <w:r w:rsidR="00A566ED">
        <w:t xml:space="preserve"> have been</w:t>
      </w:r>
      <w:r w:rsidR="00BE4A4F">
        <w:t xml:space="preserve"> verifiable by a doctor.</w:t>
      </w:r>
    </w:p>
    <w:p w:rsidR="00AD20D2" w:rsidRDefault="00AD20D2" w:rsidP="006377A7">
      <w:pPr>
        <w:pStyle w:val="JuQuot"/>
      </w:pPr>
      <w:r>
        <w:t xml:space="preserve">If the accused police officer had caused the bodily injuries to the victim in order to force him to confess </w:t>
      </w:r>
      <w:r w:rsidR="00D92D13">
        <w:t xml:space="preserve">to </w:t>
      </w:r>
      <w:r>
        <w:t xml:space="preserve">the theft </w:t>
      </w:r>
      <w:r w:rsidR="00630D70">
        <w:t>...</w:t>
      </w:r>
      <w:r>
        <w:t xml:space="preserve"> the defendant or his other colleagues would have shown the same violent behaviour also to </w:t>
      </w:r>
      <w:r w:rsidR="00630D70">
        <w:t>...</w:t>
      </w:r>
      <w:r>
        <w:t>, acquaintances and friends of the victim, who were</w:t>
      </w:r>
      <w:r w:rsidR="006377A7">
        <w:t xml:space="preserve"> the only ones to be </w:t>
      </w:r>
      <w:r>
        <w:t xml:space="preserve">committed for trial before the Three–Member Criminal Court of Cephalonia for flagrant offences </w:t>
      </w:r>
      <w:r w:rsidR="006377A7">
        <w:t xml:space="preserve">(while the victim was not </w:t>
      </w:r>
      <w:r w:rsidR="009801CF">
        <w:t xml:space="preserve">so </w:t>
      </w:r>
      <w:r w:rsidR="006377A7">
        <w:t xml:space="preserve">committed). </w:t>
      </w:r>
      <w:r w:rsidR="00630D70">
        <w:t>...</w:t>
      </w:r>
      <w:r w:rsidR="006377A7">
        <w:t xml:space="preserve"> The defendant had no reason to use violence against the victim, all the more since the victim was not identified by P.P. as one of the four suspects </w:t>
      </w:r>
      <w:r w:rsidR="009801CF">
        <w:t>of</w:t>
      </w:r>
      <w:r w:rsidR="006377A7">
        <w:t xml:space="preserve"> the theft against him</w:t>
      </w:r>
      <w:r w:rsidR="00EA60FF">
        <w:t xml:space="preserve"> </w:t>
      </w:r>
      <w:r w:rsidR="00630D70">
        <w:t>...</w:t>
      </w:r>
      <w:r w:rsidR="006377A7">
        <w:t>.”</w:t>
      </w:r>
    </w:p>
    <w:p w:rsidR="00C74995" w:rsidRDefault="009539BD" w:rsidP="00830E21">
      <w:pPr>
        <w:pStyle w:val="JuHA"/>
      </w:pPr>
      <w:r>
        <w:t>B.  Additional</w:t>
      </w:r>
      <w:r w:rsidR="00830E21">
        <w:t xml:space="preserve"> complaints lodged by the applicant</w:t>
      </w:r>
    </w:p>
    <w:p w:rsidR="009C3FF2" w:rsidRDefault="009C3FF2" w:rsidP="009C3FF2">
      <w:pPr>
        <w:pStyle w:val="JuH1"/>
      </w:pPr>
      <w:r>
        <w:t>1.  The complaint of 4 September 2003</w:t>
      </w:r>
    </w:p>
    <w:p w:rsidR="00997269" w:rsidRDefault="00F123D7" w:rsidP="00E40982">
      <w:pPr>
        <w:pStyle w:val="JuPara"/>
      </w:pPr>
      <w:r>
        <w:fldChar w:fldCharType="begin"/>
      </w:r>
      <w:r>
        <w:instrText xml:space="preserve"> SEQ level0 \*arabic </w:instrText>
      </w:r>
      <w:r>
        <w:fldChar w:fldCharType="separate"/>
      </w:r>
      <w:r w:rsidR="005F3BDE">
        <w:rPr>
          <w:noProof/>
        </w:rPr>
        <w:t>23</w:t>
      </w:r>
      <w:r>
        <w:fldChar w:fldCharType="end"/>
      </w:r>
      <w:r>
        <w:t>.  </w:t>
      </w:r>
      <w:r w:rsidR="00E40982">
        <w:t xml:space="preserve">On 4 September 2003, </w:t>
      </w:r>
      <w:r w:rsidR="00D90C8F">
        <w:t xml:space="preserve">the applicant </w:t>
      </w:r>
      <w:r w:rsidR="009801CF">
        <w:t>lodged</w:t>
      </w:r>
      <w:r w:rsidR="00685DD6">
        <w:t xml:space="preserve"> </w:t>
      </w:r>
      <w:r w:rsidR="00E40982">
        <w:t xml:space="preserve">a complaint with the Cephalonia </w:t>
      </w:r>
      <w:r w:rsidR="009801CF">
        <w:t>p</w:t>
      </w:r>
      <w:r w:rsidR="00E40982">
        <w:t>rosecutor</w:t>
      </w:r>
      <w:r w:rsidR="00E81900">
        <w:t>'</w:t>
      </w:r>
      <w:r w:rsidR="00E40982">
        <w:t xml:space="preserve">s </w:t>
      </w:r>
      <w:r w:rsidR="009801CF">
        <w:t>o</w:t>
      </w:r>
      <w:r w:rsidR="00E40982">
        <w:t xml:space="preserve">ffice for breach of duty, false certification, perjury, </w:t>
      </w:r>
      <w:r w:rsidR="009801CF">
        <w:t>incitement to</w:t>
      </w:r>
      <w:r w:rsidR="00E40982">
        <w:t xml:space="preserve"> perjury, forgery, </w:t>
      </w:r>
      <w:r w:rsidR="009801CF">
        <w:t>incitement to commit</w:t>
      </w:r>
      <w:r w:rsidR="00E40982">
        <w:t xml:space="preserve"> forgery and blackmail</w:t>
      </w:r>
      <w:r w:rsidR="007813D9">
        <w:t xml:space="preserve"> against </w:t>
      </w:r>
      <w:r w:rsidR="00675DBD">
        <w:t xml:space="preserve">eleven </w:t>
      </w:r>
      <w:r w:rsidR="007813D9">
        <w:t>police officers</w:t>
      </w:r>
      <w:r w:rsidR="009801CF">
        <w:t xml:space="preserve"> who had been</w:t>
      </w:r>
      <w:r w:rsidR="00A539AE">
        <w:t xml:space="preserve"> </w:t>
      </w:r>
      <w:r w:rsidR="00F57668">
        <w:t>involved in the events of 5 August 2001</w:t>
      </w:r>
      <w:r w:rsidR="002B5284">
        <w:t>, in the EDE and in</w:t>
      </w:r>
      <w:r w:rsidR="00F57668">
        <w:t xml:space="preserve"> the procedure </w:t>
      </w:r>
      <w:r w:rsidR="009801CF">
        <w:t xml:space="preserve">resulting in </w:t>
      </w:r>
      <w:r w:rsidR="00F57668">
        <w:t>the first applicant</w:t>
      </w:r>
      <w:r w:rsidR="00E81900">
        <w:t>'</w:t>
      </w:r>
      <w:r w:rsidR="00F57668">
        <w:t xml:space="preserve">s complaint, </w:t>
      </w:r>
      <w:r w:rsidR="00A539AE">
        <w:t xml:space="preserve">including the commander of </w:t>
      </w:r>
      <w:r w:rsidR="0081078F">
        <w:t>the police station and police officer</w:t>
      </w:r>
      <w:r w:rsidR="00A539AE">
        <w:t xml:space="preserve"> N.K.</w:t>
      </w:r>
    </w:p>
    <w:p w:rsidR="00997269" w:rsidRDefault="00F123D7" w:rsidP="00E40982">
      <w:pPr>
        <w:pStyle w:val="JuPara"/>
      </w:pPr>
      <w:r>
        <w:fldChar w:fldCharType="begin"/>
      </w:r>
      <w:r>
        <w:instrText xml:space="preserve"> SEQ level0 \*arabic </w:instrText>
      </w:r>
      <w:r>
        <w:fldChar w:fldCharType="separate"/>
      </w:r>
      <w:r w:rsidR="005F3BDE">
        <w:rPr>
          <w:noProof/>
        </w:rPr>
        <w:t>24</w:t>
      </w:r>
      <w:r>
        <w:fldChar w:fldCharType="end"/>
      </w:r>
      <w:r>
        <w:t>.  </w:t>
      </w:r>
      <w:r w:rsidR="00997269">
        <w:t>In his observations</w:t>
      </w:r>
      <w:r w:rsidR="00373355">
        <w:t xml:space="preserve"> and supplementary observations of 25 May 2004</w:t>
      </w:r>
      <w:r w:rsidR="00997269">
        <w:t>,</w:t>
      </w:r>
      <w:r w:rsidR="00E848A7">
        <w:t xml:space="preserve"> </w:t>
      </w:r>
      <w:r w:rsidR="00373355">
        <w:t xml:space="preserve">concerning more specifically the commander of the police station, </w:t>
      </w:r>
      <w:r w:rsidR="00997269">
        <w:t>the applicant su</w:t>
      </w:r>
      <w:r w:rsidR="00BE199A">
        <w:t>b</w:t>
      </w:r>
      <w:r w:rsidR="00373355">
        <w:t>mitted that the commander</w:t>
      </w:r>
      <w:r w:rsidR="00666BD5">
        <w:t xml:space="preserve"> </w:t>
      </w:r>
      <w:r w:rsidR="00BE199A">
        <w:t xml:space="preserve">had used racial profiling when </w:t>
      </w:r>
      <w:r w:rsidR="00373355">
        <w:t xml:space="preserve">he </w:t>
      </w:r>
      <w:r w:rsidR="00666BD5">
        <w:t xml:space="preserve">admitted having </w:t>
      </w:r>
      <w:r w:rsidR="00BE199A">
        <w:t xml:space="preserve">used the applicant as </w:t>
      </w:r>
      <w:r w:rsidR="00A566ED">
        <w:t xml:space="preserve">a </w:t>
      </w:r>
      <w:r w:rsidR="00BE199A">
        <w:t xml:space="preserve">“visual suspect” only </w:t>
      </w:r>
      <w:r w:rsidR="00361BD1">
        <w:t>for the reason</w:t>
      </w:r>
      <w:r w:rsidR="00666BD5">
        <w:t xml:space="preserve"> that he was “of the same age and appearance </w:t>
      </w:r>
      <w:r w:rsidR="009801CF">
        <w:t>as</w:t>
      </w:r>
      <w:r w:rsidR="00666BD5">
        <w:t xml:space="preserve"> the other Roma youth”. </w:t>
      </w:r>
      <w:r w:rsidR="00BE199A">
        <w:t xml:space="preserve">He also maintained that </w:t>
      </w:r>
      <w:r w:rsidR="00E250FA">
        <w:t xml:space="preserve">the </w:t>
      </w:r>
      <w:r w:rsidR="00373355">
        <w:t xml:space="preserve">police </w:t>
      </w:r>
      <w:r w:rsidR="00BE199A">
        <w:t xml:space="preserve">had examined his mobile phone </w:t>
      </w:r>
      <w:r w:rsidR="009801CF">
        <w:t xml:space="preserve">twice, </w:t>
      </w:r>
      <w:r w:rsidR="00BE199A">
        <w:t>suspecting that he might have stolen it</w:t>
      </w:r>
      <w:r w:rsidR="009801CF">
        <w:t>,</w:t>
      </w:r>
      <w:r w:rsidR="00BE199A">
        <w:t xml:space="preserve"> on the sole basis that it seemed to be of </w:t>
      </w:r>
      <w:r w:rsidR="009801CF">
        <w:t xml:space="preserve">a </w:t>
      </w:r>
      <w:r w:rsidR="00BE199A">
        <w:t>value disproportionate to his means</w:t>
      </w:r>
      <w:r w:rsidR="002B64A8">
        <w:t xml:space="preserve"> because he was a Rom</w:t>
      </w:r>
      <w:r w:rsidR="00BE199A">
        <w:t xml:space="preserve">. </w:t>
      </w:r>
      <w:r w:rsidR="002B64A8">
        <w:t xml:space="preserve">He </w:t>
      </w:r>
      <w:r w:rsidR="00CA1293">
        <w:t>further contended that in his observations in defence,</w:t>
      </w:r>
      <w:r w:rsidR="00373355">
        <w:t xml:space="preserve"> the commander</w:t>
      </w:r>
      <w:r w:rsidR="00CA1293">
        <w:t xml:space="preserve"> again racially profiled</w:t>
      </w:r>
      <w:r w:rsidR="002B64A8">
        <w:t xml:space="preserve"> the Roma as criminals, including the use of terms such as “racial environment” and the phrase “Roma are </w:t>
      </w:r>
      <w:r w:rsidR="00A566ED">
        <w:t>people</w:t>
      </w:r>
      <w:r w:rsidR="002B64A8">
        <w:t xml:space="preserve"> without professions who are seeking cultural and social goods and </w:t>
      </w:r>
      <w:r w:rsidR="009801CF">
        <w:t xml:space="preserve">who have </w:t>
      </w:r>
      <w:r w:rsidR="002B64A8">
        <w:t xml:space="preserve">chosen as </w:t>
      </w:r>
      <w:r w:rsidR="00361BD1">
        <w:t xml:space="preserve">their </w:t>
      </w:r>
      <w:r w:rsidR="002B64A8">
        <w:t>permanent means of attaining them the illegal acquisition of money”.</w:t>
      </w:r>
      <w:r w:rsidR="00E848A7">
        <w:t xml:space="preserve"> He underlined that the racial bias of the commander explained why such methods were used </w:t>
      </w:r>
      <w:r w:rsidR="009801CF">
        <w:t xml:space="preserve">during the </w:t>
      </w:r>
      <w:r w:rsidR="00A17E29">
        <w:t>interrogation</w:t>
      </w:r>
      <w:r w:rsidR="009801CF">
        <w:t xml:space="preserve"> </w:t>
      </w:r>
      <w:r w:rsidR="00E848A7">
        <w:t>of the applicant</w:t>
      </w:r>
      <w:r w:rsidR="009801CF">
        <w:t xml:space="preserve">, with a view to </w:t>
      </w:r>
      <w:r w:rsidR="00E848A7">
        <w:t xml:space="preserve">extracting </w:t>
      </w:r>
      <w:r w:rsidR="009801CF">
        <w:t xml:space="preserve">a </w:t>
      </w:r>
      <w:r w:rsidR="00E848A7">
        <w:t>confession</w:t>
      </w:r>
      <w:r w:rsidR="009801CF">
        <w:t xml:space="preserve"> to </w:t>
      </w:r>
      <w:r w:rsidR="00E848A7">
        <w:t xml:space="preserve">the alleged theft of a </w:t>
      </w:r>
      <w:r w:rsidR="009801CF">
        <w:t>large</w:t>
      </w:r>
      <w:r w:rsidR="00E848A7">
        <w:t xml:space="preserve"> sum of money which was never found in the possession of the applicant.</w:t>
      </w:r>
      <w:r w:rsidR="00434EAF">
        <w:t xml:space="preserve"> The</w:t>
      </w:r>
      <w:r w:rsidR="00434EAF" w:rsidRPr="00434EAF">
        <w:t xml:space="preserve"> </w:t>
      </w:r>
      <w:r w:rsidR="00434EAF">
        <w:t xml:space="preserve">applicant alleged a breach of the Law </w:t>
      </w:r>
      <w:r w:rsidR="00A17E29">
        <w:t xml:space="preserve">Against Racism, </w:t>
      </w:r>
      <w:r w:rsidR="00A566ED">
        <w:t xml:space="preserve">no. </w:t>
      </w:r>
      <w:r w:rsidR="00434EAF">
        <w:t>927/79.</w:t>
      </w:r>
    </w:p>
    <w:p w:rsidR="00E40982" w:rsidRDefault="00F123D7" w:rsidP="00E40982">
      <w:pPr>
        <w:pStyle w:val="JuPara"/>
      </w:pPr>
      <w:r>
        <w:fldChar w:fldCharType="begin"/>
      </w:r>
      <w:r>
        <w:instrText xml:space="preserve"> SEQ level0 \*arabic </w:instrText>
      </w:r>
      <w:r>
        <w:fldChar w:fldCharType="separate"/>
      </w:r>
      <w:r w:rsidR="005F3BDE">
        <w:rPr>
          <w:noProof/>
        </w:rPr>
        <w:t>25</w:t>
      </w:r>
      <w:r>
        <w:fldChar w:fldCharType="end"/>
      </w:r>
      <w:r>
        <w:t>.  </w:t>
      </w:r>
      <w:r w:rsidR="00466588">
        <w:t>O</w:t>
      </w:r>
      <w:r w:rsidR="00103908">
        <w:t>n</w:t>
      </w:r>
      <w:r w:rsidR="00466588">
        <w:t xml:space="preserve"> 11</w:t>
      </w:r>
      <w:r w:rsidR="00103908">
        <w:t xml:space="preserve"> A</w:t>
      </w:r>
      <w:r w:rsidR="007813D9">
        <w:t xml:space="preserve">ugust 2004, </w:t>
      </w:r>
      <w:r w:rsidR="00103908">
        <w:t xml:space="preserve">the </w:t>
      </w:r>
      <w:smartTag w:uri="urn:schemas-microsoft-com:office:smarttags" w:element="place">
        <w:r w:rsidR="00103908">
          <w:t>Cephalonia</w:t>
        </w:r>
      </w:smartTag>
      <w:r w:rsidR="00103908">
        <w:t xml:space="preserve"> </w:t>
      </w:r>
      <w:r w:rsidR="009801CF">
        <w:t>p</w:t>
      </w:r>
      <w:r w:rsidR="00103908">
        <w:t>rosecutor</w:t>
      </w:r>
      <w:r w:rsidR="00E81900">
        <w:t>'</w:t>
      </w:r>
      <w:r w:rsidR="00103908">
        <w:t xml:space="preserve">s </w:t>
      </w:r>
      <w:r w:rsidR="009801CF">
        <w:t>o</w:t>
      </w:r>
      <w:r w:rsidR="00103908">
        <w:t>ffice</w:t>
      </w:r>
      <w:r w:rsidR="00E40982">
        <w:t xml:space="preserve"> </w:t>
      </w:r>
      <w:r w:rsidR="00103908">
        <w:t>decided</w:t>
      </w:r>
      <w:r w:rsidR="00E40982">
        <w:t xml:space="preserve"> not to press any charge</w:t>
      </w:r>
      <w:r w:rsidR="00103908">
        <w:t>s against the police officers</w:t>
      </w:r>
      <w:r w:rsidR="00CA1293">
        <w:t xml:space="preserve"> concerned</w:t>
      </w:r>
      <w:r w:rsidR="009801CF">
        <w:t>,</w:t>
      </w:r>
      <w:r w:rsidR="00466588">
        <w:t xml:space="preserve"> because the file </w:t>
      </w:r>
      <w:r w:rsidR="009801CF">
        <w:t xml:space="preserve">did not indicate </w:t>
      </w:r>
      <w:r w:rsidR="00466588">
        <w:t>that they had committed any breach of duty.</w:t>
      </w:r>
    </w:p>
    <w:p w:rsidR="009C3FF2" w:rsidRDefault="009C3FF2" w:rsidP="009C3FF2">
      <w:pPr>
        <w:pStyle w:val="JuH1"/>
      </w:pPr>
      <w:r>
        <w:t xml:space="preserve">2.  The complaint of </w:t>
      </w:r>
      <w:r w:rsidR="00481BE6">
        <w:t>18</w:t>
      </w:r>
      <w:r>
        <w:t xml:space="preserve"> July 2005</w:t>
      </w:r>
    </w:p>
    <w:p w:rsidR="009539BD" w:rsidRDefault="00F123D7" w:rsidP="00830E21">
      <w:pPr>
        <w:pStyle w:val="JuPara"/>
      </w:pPr>
      <w:r>
        <w:fldChar w:fldCharType="begin"/>
      </w:r>
      <w:r>
        <w:instrText xml:space="preserve"> SEQ level0 \*arabic </w:instrText>
      </w:r>
      <w:r>
        <w:fldChar w:fldCharType="separate"/>
      </w:r>
      <w:r w:rsidR="005F3BDE">
        <w:rPr>
          <w:noProof/>
        </w:rPr>
        <w:t>26</w:t>
      </w:r>
      <w:r>
        <w:fldChar w:fldCharType="end"/>
      </w:r>
      <w:r>
        <w:t>.  </w:t>
      </w:r>
      <w:r w:rsidR="00103908">
        <w:t>O</w:t>
      </w:r>
      <w:r w:rsidR="00830E21">
        <w:t xml:space="preserve">n </w:t>
      </w:r>
      <w:r w:rsidR="00103908">
        <w:t>1</w:t>
      </w:r>
      <w:r w:rsidR="009C3FF2">
        <w:t>8</w:t>
      </w:r>
      <w:r w:rsidR="00103908">
        <w:t xml:space="preserve"> July 2005 t</w:t>
      </w:r>
      <w:r w:rsidR="00830E21">
        <w:t>he</w:t>
      </w:r>
      <w:r w:rsidR="00103908">
        <w:t xml:space="preserve"> applicant</w:t>
      </w:r>
      <w:r w:rsidR="00F30AAA">
        <w:t xml:space="preserve"> </w:t>
      </w:r>
      <w:r w:rsidR="009801CF">
        <w:t xml:space="preserve">lodged a complaint </w:t>
      </w:r>
      <w:r w:rsidR="00830E21">
        <w:t xml:space="preserve">with the Athens </w:t>
      </w:r>
      <w:r w:rsidR="009801CF">
        <w:t>p</w:t>
      </w:r>
      <w:r w:rsidR="00830E21">
        <w:t>rosecutor</w:t>
      </w:r>
      <w:r w:rsidR="00E81900">
        <w:t>'</w:t>
      </w:r>
      <w:r w:rsidR="00830E21">
        <w:t xml:space="preserve">s </w:t>
      </w:r>
      <w:r w:rsidR="009801CF">
        <w:t>o</w:t>
      </w:r>
      <w:r w:rsidR="00830E21">
        <w:t xml:space="preserve">ffice against </w:t>
      </w:r>
      <w:r w:rsidR="00F57668">
        <w:t xml:space="preserve">the same </w:t>
      </w:r>
      <w:r w:rsidR="00830E21">
        <w:t xml:space="preserve">eleven police officers </w:t>
      </w:r>
      <w:r w:rsidR="00B54AF8">
        <w:t>(as in the complaint of 4 September 2003)</w:t>
      </w:r>
      <w:r w:rsidR="009801CF">
        <w:t xml:space="preserve">, </w:t>
      </w:r>
      <w:r w:rsidR="00A17E29">
        <w:t>and sought to</w:t>
      </w:r>
      <w:r w:rsidR="00C74995">
        <w:t xml:space="preserve"> </w:t>
      </w:r>
      <w:r w:rsidR="00A17E29">
        <w:t xml:space="preserve">join the proceedings as a civil party claiming damages, seeking </w:t>
      </w:r>
      <w:r w:rsidR="00830E21">
        <w:t xml:space="preserve">compensation of </w:t>
      </w:r>
      <w:r w:rsidR="009801CF">
        <w:t xml:space="preserve">thirty </w:t>
      </w:r>
      <w:r w:rsidR="00685DD6">
        <w:t>euros</w:t>
      </w:r>
      <w:r w:rsidR="00830E21">
        <w:t xml:space="preserve">. </w:t>
      </w:r>
      <w:r w:rsidR="00F57668">
        <w:t>T</w:t>
      </w:r>
      <w:r w:rsidR="009539BD">
        <w:t>he</w:t>
      </w:r>
      <w:r w:rsidR="00F57668">
        <w:t xml:space="preserve"> applicant </w:t>
      </w:r>
      <w:r w:rsidR="00B54AF8">
        <w:t xml:space="preserve">complained again of breach of duty, false certification, perjury, </w:t>
      </w:r>
      <w:r w:rsidR="009801CF">
        <w:t xml:space="preserve">incitement to </w:t>
      </w:r>
      <w:r w:rsidR="00B54AF8">
        <w:t xml:space="preserve">perjury, forgery, </w:t>
      </w:r>
      <w:r w:rsidR="009801CF">
        <w:t xml:space="preserve">incitement to commit </w:t>
      </w:r>
      <w:r w:rsidR="00B54AF8">
        <w:t>forgery and blackmail on the part of these officers and added a complaint</w:t>
      </w:r>
      <w:r w:rsidR="00B14A8C">
        <w:t xml:space="preserve"> o</w:t>
      </w:r>
      <w:r w:rsidR="00C95EC6">
        <w:t xml:space="preserve">f violation of </w:t>
      </w:r>
      <w:r w:rsidR="00A17E29">
        <w:t>Laws Against Racism</w:t>
      </w:r>
      <w:r w:rsidR="00B54AF8">
        <w:t xml:space="preserve"> </w:t>
      </w:r>
      <w:r w:rsidR="00A566ED">
        <w:t xml:space="preserve">nos. </w:t>
      </w:r>
      <w:r w:rsidR="00B54AF8">
        <w:t>927/1979 and 3304/2005.</w:t>
      </w:r>
      <w:r w:rsidR="00EA5749">
        <w:t xml:space="preserve"> I</w:t>
      </w:r>
      <w:r w:rsidR="00B14A8C">
        <w:t xml:space="preserve">n this respect he claimed that there was a </w:t>
      </w:r>
      <w:r w:rsidR="00A17E29">
        <w:t xml:space="preserve">causal </w:t>
      </w:r>
      <w:r w:rsidR="00B14A8C">
        <w:t>link between his ethnic origin and his ill-treatment.</w:t>
      </w:r>
    </w:p>
    <w:p w:rsidR="00C74995" w:rsidRDefault="009539BD" w:rsidP="00830E21">
      <w:pPr>
        <w:pStyle w:val="JuPara"/>
      </w:pPr>
      <w:r>
        <w:fldChar w:fldCharType="begin"/>
      </w:r>
      <w:r>
        <w:instrText xml:space="preserve"> SEQ level0 \*arabic </w:instrText>
      </w:r>
      <w:r>
        <w:fldChar w:fldCharType="separate"/>
      </w:r>
      <w:r w:rsidR="005F3BDE">
        <w:rPr>
          <w:noProof/>
        </w:rPr>
        <w:t>27</w:t>
      </w:r>
      <w:r>
        <w:fldChar w:fldCharType="end"/>
      </w:r>
      <w:r>
        <w:t>.  </w:t>
      </w:r>
      <w:r w:rsidR="00830E21">
        <w:t xml:space="preserve">The </w:t>
      </w:r>
      <w:smartTag w:uri="urn:schemas-microsoft-com:office:smarttags" w:element="City">
        <w:r w:rsidR="00830E21">
          <w:t>Athens</w:t>
        </w:r>
      </w:smartTag>
      <w:r w:rsidR="00830E21">
        <w:t xml:space="preserve"> </w:t>
      </w:r>
      <w:r w:rsidR="009801CF">
        <w:t>p</w:t>
      </w:r>
      <w:r w:rsidR="00830E21">
        <w:t>rosecutor</w:t>
      </w:r>
      <w:r w:rsidR="00E81900">
        <w:t>'</w:t>
      </w:r>
      <w:r w:rsidR="00830E21">
        <w:t xml:space="preserve">s </w:t>
      </w:r>
      <w:r w:rsidR="009801CF">
        <w:t>o</w:t>
      </w:r>
      <w:r w:rsidR="00830E21">
        <w:t xml:space="preserve">ffice forwarded the complaint to the </w:t>
      </w:r>
      <w:smartTag w:uri="urn:schemas-microsoft-com:office:smarttags" w:element="place">
        <w:r w:rsidR="00830E21">
          <w:t>Cephalonia</w:t>
        </w:r>
      </w:smartTag>
      <w:r w:rsidR="00830E21">
        <w:t xml:space="preserve"> </w:t>
      </w:r>
      <w:r w:rsidR="009801CF">
        <w:t>p</w:t>
      </w:r>
      <w:r w:rsidR="00830E21">
        <w:t>rosecutor</w:t>
      </w:r>
      <w:r w:rsidR="00E81900">
        <w:t>'</w:t>
      </w:r>
      <w:r w:rsidR="00830E21">
        <w:t xml:space="preserve">s </w:t>
      </w:r>
      <w:r w:rsidR="009801CF">
        <w:t>o</w:t>
      </w:r>
      <w:r w:rsidR="00830E21">
        <w:t>ffice.</w:t>
      </w:r>
    </w:p>
    <w:p w:rsidR="00C74995" w:rsidRDefault="00F123D7" w:rsidP="00F33032">
      <w:pPr>
        <w:pStyle w:val="JuPara"/>
      </w:pPr>
      <w:r>
        <w:fldChar w:fldCharType="begin"/>
      </w:r>
      <w:r>
        <w:instrText xml:space="preserve"> SEQ level0 \*arabic </w:instrText>
      </w:r>
      <w:r>
        <w:fldChar w:fldCharType="separate"/>
      </w:r>
      <w:r w:rsidR="005F3BDE">
        <w:rPr>
          <w:noProof/>
        </w:rPr>
        <w:t>28</w:t>
      </w:r>
      <w:r>
        <w:fldChar w:fldCharType="end"/>
      </w:r>
      <w:r>
        <w:t>.  </w:t>
      </w:r>
      <w:r w:rsidR="00830E21">
        <w:t xml:space="preserve">On 29 November 2005, </w:t>
      </w:r>
      <w:r w:rsidR="006F72E7">
        <w:t xml:space="preserve">the Cephalonia </w:t>
      </w:r>
      <w:r w:rsidR="006F3CB5">
        <w:t>p</w:t>
      </w:r>
      <w:r w:rsidR="006F72E7">
        <w:t>rosecutor</w:t>
      </w:r>
      <w:r w:rsidR="00E81900">
        <w:t>'</w:t>
      </w:r>
      <w:r w:rsidR="006F72E7">
        <w:t xml:space="preserve">s </w:t>
      </w:r>
      <w:r w:rsidR="006F3CB5">
        <w:t>o</w:t>
      </w:r>
      <w:r w:rsidR="006F72E7">
        <w:t xml:space="preserve">ffice indicted </w:t>
      </w:r>
      <w:r w:rsidR="00830E21">
        <w:t>three police officers before the Criminal Court of Cephalonia fo</w:t>
      </w:r>
      <w:r w:rsidR="00036566">
        <w:t xml:space="preserve">r forgery and multiple perjury: they were accused of having on 5 September 2001 </w:t>
      </w:r>
      <w:r w:rsidR="00A802EF">
        <w:t>forged the applicant</w:t>
      </w:r>
      <w:r w:rsidR="00E81900">
        <w:t>'</w:t>
      </w:r>
      <w:r w:rsidR="00A802EF">
        <w:t>s signature</w:t>
      </w:r>
      <w:r w:rsidR="006F3CB5">
        <w:t>,</w:t>
      </w:r>
      <w:r w:rsidR="00A802EF">
        <w:t xml:space="preserve"> without hi</w:t>
      </w:r>
      <w:r w:rsidR="006F3CB5">
        <w:t xml:space="preserve">s knowledge, on </w:t>
      </w:r>
      <w:r w:rsidR="00A802EF">
        <w:t xml:space="preserve">the </w:t>
      </w:r>
      <w:r w:rsidR="006F3CB5">
        <w:t>record of interview</w:t>
      </w:r>
      <w:r w:rsidR="00E250FA">
        <w:t>.</w:t>
      </w:r>
      <w:r w:rsidR="00036566">
        <w:t xml:space="preserve"> </w:t>
      </w:r>
      <w:r w:rsidR="00B544D8">
        <w:t>I</w:t>
      </w:r>
      <w:r w:rsidR="006F72E7">
        <w:t>n its decision of the same date</w:t>
      </w:r>
      <w:r w:rsidR="00F33032">
        <w:t xml:space="preserve">, </w:t>
      </w:r>
      <w:r w:rsidR="00A802EF">
        <w:t>t</w:t>
      </w:r>
      <w:r w:rsidR="006F72E7">
        <w:t xml:space="preserve">he </w:t>
      </w:r>
      <w:r w:rsidR="006F3CB5">
        <w:t>p</w:t>
      </w:r>
      <w:r w:rsidR="00A802EF">
        <w:t xml:space="preserve">rosecutor </w:t>
      </w:r>
      <w:r w:rsidR="006F3CB5">
        <w:t>stated</w:t>
      </w:r>
      <w:r w:rsidR="00F33032">
        <w:t xml:space="preserve"> that the file </w:t>
      </w:r>
      <w:r w:rsidR="006F3CB5">
        <w:t xml:space="preserve">did not indicate </w:t>
      </w:r>
      <w:r w:rsidR="00F33032">
        <w:t>that the commander of the police station had made any offen</w:t>
      </w:r>
      <w:r w:rsidR="006F3CB5">
        <w:t>sive</w:t>
      </w:r>
      <w:r w:rsidR="00F33032">
        <w:t xml:space="preserve"> statements </w:t>
      </w:r>
      <w:r w:rsidR="006F3CB5">
        <w:t xml:space="preserve">about </w:t>
      </w:r>
      <w:r w:rsidR="00F33032">
        <w:t>the Roma ethnic origin of the applicant.</w:t>
      </w:r>
    </w:p>
    <w:p w:rsidR="00C74995" w:rsidRDefault="00F33032" w:rsidP="00830E21">
      <w:pPr>
        <w:pStyle w:val="JuPara"/>
      </w:pPr>
      <w:r>
        <w:fldChar w:fldCharType="begin"/>
      </w:r>
      <w:r>
        <w:instrText xml:space="preserve"> SEQ level0 \*arabic </w:instrText>
      </w:r>
      <w:r>
        <w:fldChar w:fldCharType="separate"/>
      </w:r>
      <w:r w:rsidR="005F3BDE">
        <w:rPr>
          <w:noProof/>
        </w:rPr>
        <w:t>29</w:t>
      </w:r>
      <w:r>
        <w:fldChar w:fldCharType="end"/>
      </w:r>
      <w:r>
        <w:t>.  </w:t>
      </w:r>
      <w:r w:rsidR="00830E21">
        <w:t xml:space="preserve">The </w:t>
      </w:r>
      <w:r w:rsidR="0081078F">
        <w:t>three police officers</w:t>
      </w:r>
      <w:r w:rsidR="00830E21">
        <w:t xml:space="preserve"> appealed against their</w:t>
      </w:r>
      <w:r w:rsidR="00481BE6">
        <w:t xml:space="preserve"> </w:t>
      </w:r>
      <w:r w:rsidR="00A17E29">
        <w:t xml:space="preserve">committal for </w:t>
      </w:r>
      <w:r w:rsidR="00481BE6">
        <w:t>trial. On 27</w:t>
      </w:r>
      <w:r w:rsidR="00830E21">
        <w:t xml:space="preserve"> June 2006 the applicant was served </w:t>
      </w:r>
      <w:r w:rsidR="006F3CB5">
        <w:t xml:space="preserve">with a </w:t>
      </w:r>
      <w:r w:rsidR="00830E21">
        <w:t xml:space="preserve">copy of a decision of the </w:t>
      </w:r>
      <w:r w:rsidR="005779DA">
        <w:t xml:space="preserve">Indictment </w:t>
      </w:r>
      <w:r w:rsidR="00A566ED">
        <w:t>Division</w:t>
      </w:r>
      <w:r w:rsidR="005779DA">
        <w:t xml:space="preserve"> </w:t>
      </w:r>
      <w:r w:rsidR="00830E21">
        <w:t xml:space="preserve">of Cephalonia </w:t>
      </w:r>
      <w:r w:rsidR="00B544D8">
        <w:t>of 13 June 2006</w:t>
      </w:r>
      <w:r w:rsidR="006F3CB5">
        <w:t xml:space="preserve">, in </w:t>
      </w:r>
      <w:r w:rsidR="00830E21">
        <w:t xml:space="preserve">which all charges against the </w:t>
      </w:r>
      <w:r w:rsidR="00B544D8">
        <w:t xml:space="preserve">three </w:t>
      </w:r>
      <w:r w:rsidR="00830E21">
        <w:t>police officers were dropped.</w:t>
      </w:r>
    </w:p>
    <w:p w:rsidR="00CD49A7" w:rsidRPr="00627CB0" w:rsidRDefault="00CD49A7">
      <w:pPr>
        <w:pStyle w:val="JuHIRoman"/>
      </w:pPr>
      <w:r w:rsidRPr="00627CB0">
        <w:t>II.  RELE</w:t>
      </w:r>
      <w:r w:rsidR="00830E21">
        <w:t>VANT DOMESTIC LAW AND PRACTICE</w:t>
      </w:r>
    </w:p>
    <w:p w:rsidR="00830E21" w:rsidRDefault="001124E3" w:rsidP="00830E21">
      <w:pPr>
        <w:pStyle w:val="JuPara"/>
      </w:pPr>
      <w:r>
        <w:fldChar w:fldCharType="begin"/>
      </w:r>
      <w:r>
        <w:instrText xml:space="preserve"> SEQ level0 \*arabic </w:instrText>
      </w:r>
      <w:r>
        <w:fldChar w:fldCharType="separate"/>
      </w:r>
      <w:r w:rsidR="005F3BDE">
        <w:rPr>
          <w:noProof/>
        </w:rPr>
        <w:t>30</w:t>
      </w:r>
      <w:r>
        <w:fldChar w:fldCharType="end"/>
      </w:r>
      <w:r>
        <w:t>.  </w:t>
      </w:r>
      <w:r w:rsidR="00830E21">
        <w:t xml:space="preserve">Under the Code of Criminal Procedure, police officers who are carrying out a preliminary inquiry or a summary investigation are subject to the instructions and supervision of the prosecutor, who is entitled to attend </w:t>
      </w:r>
      <w:r w:rsidR="006F3CB5">
        <w:t>interviews</w:t>
      </w:r>
      <w:r w:rsidR="00830E21">
        <w:t xml:space="preserve"> in person or by </w:t>
      </w:r>
      <w:r w:rsidR="007F09F1">
        <w:t xml:space="preserve">sending a </w:t>
      </w:r>
      <w:r w:rsidR="00830E21">
        <w:t>deputy, and to have access to all the documents in the case file.</w:t>
      </w:r>
    </w:p>
    <w:p w:rsidR="00830E21" w:rsidRDefault="001124E3" w:rsidP="00830E21">
      <w:pPr>
        <w:pStyle w:val="JuPara"/>
      </w:pPr>
      <w:r>
        <w:fldChar w:fldCharType="begin"/>
      </w:r>
      <w:r>
        <w:instrText xml:space="preserve"> SEQ level0 \*arabic </w:instrText>
      </w:r>
      <w:r>
        <w:fldChar w:fldCharType="separate"/>
      </w:r>
      <w:r w:rsidR="005F3BDE">
        <w:rPr>
          <w:noProof/>
        </w:rPr>
        <w:t>31</w:t>
      </w:r>
      <w:r>
        <w:fldChar w:fldCharType="end"/>
      </w:r>
      <w:r>
        <w:t>.  </w:t>
      </w:r>
      <w:r w:rsidR="00830E21">
        <w:t>Article 137A of the Criminal Code penalises acts of torture and other offences against human dignity.</w:t>
      </w:r>
    </w:p>
    <w:p w:rsidR="00830E21" w:rsidRDefault="00F123D7" w:rsidP="00830E21">
      <w:pPr>
        <w:pStyle w:val="JuPara"/>
      </w:pPr>
      <w:r>
        <w:fldChar w:fldCharType="begin"/>
      </w:r>
      <w:r>
        <w:instrText xml:space="preserve"> SEQ level0 \*arabic </w:instrText>
      </w:r>
      <w:r>
        <w:fldChar w:fldCharType="separate"/>
      </w:r>
      <w:r w:rsidR="005F3BDE">
        <w:rPr>
          <w:noProof/>
        </w:rPr>
        <w:t>32</w:t>
      </w:r>
      <w:r>
        <w:fldChar w:fldCharType="end"/>
      </w:r>
      <w:r>
        <w:t>.  </w:t>
      </w:r>
      <w:r w:rsidR="00830E21">
        <w:t>Under the provisions of Article 137A.1:</w:t>
      </w:r>
    </w:p>
    <w:p w:rsidR="00830E21" w:rsidRDefault="00830E21" w:rsidP="00830E21">
      <w:pPr>
        <w:pStyle w:val="JuQuot"/>
      </w:pPr>
      <w:r>
        <w:t xml:space="preserve">“An official or military officer whose duties include the prosecution, </w:t>
      </w:r>
      <w:r w:rsidR="00E76434">
        <w:t>questioning</w:t>
      </w:r>
      <w:r>
        <w:t xml:space="preserve"> or investigation </w:t>
      </w:r>
      <w:r w:rsidR="00A17E29">
        <w:t xml:space="preserve">related to </w:t>
      </w:r>
      <w:r>
        <w:t xml:space="preserve">criminal offences or disciplinary offences or the execution of sentences or the guarding or custody of detainees, is punished </w:t>
      </w:r>
      <w:r w:rsidR="00630D70">
        <w:t>...</w:t>
      </w:r>
      <w:r>
        <w:t xml:space="preserve"> if he subjects to torture, during the performance of these duties, a person who is under his authority with the aim of a) extorting from th</w:t>
      </w:r>
      <w:r w:rsidR="00E76434">
        <w:t>at</w:t>
      </w:r>
      <w:r>
        <w:t xml:space="preserve"> person or a third person a confession, testimony, </w:t>
      </w:r>
      <w:r w:rsidR="00A17E29">
        <w:t xml:space="preserve">or </w:t>
      </w:r>
      <w:r>
        <w:t xml:space="preserve">information or </w:t>
      </w:r>
      <w:r w:rsidR="00A17E29">
        <w:t xml:space="preserve">a </w:t>
      </w:r>
      <w:r>
        <w:t xml:space="preserve">statement, or the repudiation or acceptance of a political or other ideology; </w:t>
      </w:r>
      <w:r w:rsidR="00A17E29">
        <w:t xml:space="preserve">or </w:t>
      </w:r>
      <w:r>
        <w:t xml:space="preserve">b) </w:t>
      </w:r>
      <w:r w:rsidR="00E76434">
        <w:t xml:space="preserve">administering a </w:t>
      </w:r>
      <w:r>
        <w:t>punish</w:t>
      </w:r>
      <w:r w:rsidR="00E76434">
        <w:t>ment</w:t>
      </w:r>
      <w:r>
        <w:t xml:space="preserve">; </w:t>
      </w:r>
      <w:r w:rsidR="00A17E29">
        <w:t xml:space="preserve">or </w:t>
      </w:r>
      <w:r>
        <w:t xml:space="preserve">c) intimidating </w:t>
      </w:r>
      <w:r w:rsidR="00A17E29">
        <w:t>that</w:t>
      </w:r>
      <w:r>
        <w:t xml:space="preserve"> person or </w:t>
      </w:r>
      <w:r w:rsidR="00A17E29">
        <w:t xml:space="preserve">a </w:t>
      </w:r>
      <w:r>
        <w:t>third persons.”</w:t>
      </w:r>
    </w:p>
    <w:p w:rsidR="000E2ABE" w:rsidRPr="00767CF0" w:rsidRDefault="000E2ABE" w:rsidP="000E2ABE">
      <w:pPr>
        <w:pStyle w:val="JuPara"/>
      </w:pPr>
      <w:r w:rsidRPr="00767CF0">
        <w:fldChar w:fldCharType="begin"/>
      </w:r>
      <w:r w:rsidRPr="00767CF0">
        <w:instrText xml:space="preserve"> SEQ level0 \*arabic </w:instrText>
      </w:r>
      <w:r w:rsidRPr="00767CF0">
        <w:fldChar w:fldCharType="separate"/>
      </w:r>
      <w:r w:rsidR="005F3BDE">
        <w:rPr>
          <w:noProof/>
        </w:rPr>
        <w:t>33</w:t>
      </w:r>
      <w:r w:rsidRPr="00767CF0">
        <w:fldChar w:fldCharType="end"/>
      </w:r>
      <w:r w:rsidRPr="00767CF0">
        <w:t>.  Subsequent to the events in the present case and in order to guarantee the impartiality of investigations in cases of torture and inhuman treatment, decree 3/2004 specified that such investigations cannot be entrusted to a police officer serving in the same directorate with those suspected of the ill-treatment.</w:t>
      </w:r>
    </w:p>
    <w:p w:rsidR="00CD49A7" w:rsidRPr="00627CB0" w:rsidRDefault="00CD49A7">
      <w:pPr>
        <w:pStyle w:val="JuHHead"/>
      </w:pPr>
      <w:r w:rsidRPr="00627CB0">
        <w:t>THE LAW</w:t>
      </w:r>
    </w:p>
    <w:p w:rsidR="00CD49A7" w:rsidRPr="00627CB0" w:rsidRDefault="006D488D">
      <w:pPr>
        <w:pStyle w:val="JuHIRoman"/>
      </w:pPr>
      <w:r>
        <w:t>I</w:t>
      </w:r>
      <w:r w:rsidR="00CD49A7" w:rsidRPr="00627CB0">
        <w:t>.  ALLEGED VIOLATION</w:t>
      </w:r>
      <w:r w:rsidR="0020716D">
        <w:t>S</w:t>
      </w:r>
      <w:r w:rsidR="00CD49A7" w:rsidRPr="00627CB0">
        <w:t xml:space="preserve"> OF ARTICLE </w:t>
      </w:r>
      <w:r>
        <w:t>3</w:t>
      </w:r>
      <w:r w:rsidR="00CD49A7" w:rsidRPr="00627CB0">
        <w:t xml:space="preserve"> OF THE CONVENTION</w:t>
      </w:r>
    </w:p>
    <w:p w:rsidR="006D488D" w:rsidRDefault="00E756FE" w:rsidP="006D488D">
      <w:pPr>
        <w:pStyle w:val="JuPara"/>
      </w:pPr>
      <w:r>
        <w:fldChar w:fldCharType="begin"/>
      </w:r>
      <w:r>
        <w:instrText xml:space="preserve"> SEQ level0 \*arabic </w:instrText>
      </w:r>
      <w:r>
        <w:fldChar w:fldCharType="separate"/>
      </w:r>
      <w:r w:rsidR="005F3BDE">
        <w:rPr>
          <w:noProof/>
        </w:rPr>
        <w:t>34</w:t>
      </w:r>
      <w:r>
        <w:fldChar w:fldCharType="end"/>
      </w:r>
      <w:r>
        <w:t>.  </w:t>
      </w:r>
      <w:r w:rsidR="006D488D" w:rsidRPr="00DE619F">
        <w:t xml:space="preserve">The </w:t>
      </w:r>
      <w:r w:rsidR="006D488D">
        <w:t>applicant complained</w:t>
      </w:r>
      <w:r w:rsidR="006D488D" w:rsidRPr="00DE619F">
        <w:t xml:space="preserve"> </w:t>
      </w:r>
      <w:r w:rsidR="006D488D">
        <w:t xml:space="preserve">that, </w:t>
      </w:r>
      <w:r w:rsidR="00E250FA">
        <w:t>a minor</w:t>
      </w:r>
      <w:r w:rsidR="006D488D">
        <w:t xml:space="preserve"> at the time, he </w:t>
      </w:r>
      <w:r w:rsidR="007C715B">
        <w:t xml:space="preserve">had </w:t>
      </w:r>
      <w:r w:rsidR="006D488D">
        <w:t>suffered serious bodily harm and great mental suffering at the hands of the police</w:t>
      </w:r>
      <w:r w:rsidR="00FC7D2C">
        <w:t xml:space="preserve"> on 5 August 2001</w:t>
      </w:r>
      <w:r w:rsidR="006D488D">
        <w:t>. He also complained</w:t>
      </w:r>
      <w:r w:rsidR="006D488D" w:rsidRPr="00DE619F">
        <w:t xml:space="preserve"> </w:t>
      </w:r>
      <w:r w:rsidR="006D488D">
        <w:t xml:space="preserve">that the investigative and prosecuting authorities </w:t>
      </w:r>
      <w:r w:rsidR="00A17E29">
        <w:t xml:space="preserve">had </w:t>
      </w:r>
      <w:r w:rsidR="006D488D">
        <w:t xml:space="preserve">failed to carry out a prompt, comprehensive and effective investigation capable of providing a plausible explanation of the injuries he had sustained during his brief detention in </w:t>
      </w:r>
      <w:r w:rsidR="00FC7D2C">
        <w:t>the</w:t>
      </w:r>
      <w:r w:rsidR="006D488D">
        <w:t xml:space="preserve"> police station and of leading to the identification and punishment of all police officers responsible.</w:t>
      </w:r>
      <w:r w:rsidR="003B2CD0">
        <w:t xml:space="preserve"> He alleged a breach of Article </w:t>
      </w:r>
      <w:r w:rsidR="006D488D">
        <w:t>3 of the Convention, which provides:</w:t>
      </w:r>
    </w:p>
    <w:p w:rsidR="006D488D" w:rsidRDefault="006D488D" w:rsidP="006D488D">
      <w:pPr>
        <w:pStyle w:val="JuQuot"/>
      </w:pPr>
      <w:r>
        <w:t>“No one shall be subjected to torture or to inhuman or degrading treatment or punishment.”</w:t>
      </w:r>
    </w:p>
    <w:p w:rsidR="00941198" w:rsidRPr="00B81350" w:rsidRDefault="00941198" w:rsidP="00941198">
      <w:pPr>
        <w:pStyle w:val="JuHA"/>
      </w:pPr>
      <w:r w:rsidRPr="00B81350">
        <w:t>A</w:t>
      </w:r>
      <w:r w:rsidR="00B81350" w:rsidRPr="00B81350">
        <w:t>.  Admissibility</w:t>
      </w:r>
    </w:p>
    <w:p w:rsidR="00C1354A" w:rsidRDefault="00941198" w:rsidP="00C1354A">
      <w:pPr>
        <w:pStyle w:val="JuPara"/>
        <w:keepNext/>
        <w:keepLines/>
      </w:pPr>
      <w:r>
        <w:rPr>
          <w:lang w:val="fr-FR"/>
        </w:rPr>
        <w:fldChar w:fldCharType="begin"/>
      </w:r>
      <w:r w:rsidRPr="00B81350">
        <w:instrText xml:space="preserve"> SEQ level0 \*arabic </w:instrText>
      </w:r>
      <w:r>
        <w:rPr>
          <w:lang w:val="fr-FR"/>
        </w:rPr>
        <w:fldChar w:fldCharType="separate"/>
      </w:r>
      <w:r w:rsidR="005F3BDE">
        <w:rPr>
          <w:noProof/>
        </w:rPr>
        <w:t>35</w:t>
      </w:r>
      <w:r>
        <w:rPr>
          <w:lang w:val="fr-FR"/>
        </w:rPr>
        <w:fldChar w:fldCharType="end"/>
      </w:r>
      <w:r w:rsidRPr="00B81350">
        <w:t>.  </w:t>
      </w:r>
      <w:r w:rsidR="00B81350">
        <w:t xml:space="preserve">The Court notes that </w:t>
      </w:r>
      <w:r w:rsidR="00C1354A">
        <w:t>the complaint is not manifestly ill-founded within the meaning of Article 35 § 3 of the Convention and that it is not inadmissible on any other grounds. It must therefore be declared admissible.</w:t>
      </w:r>
    </w:p>
    <w:p w:rsidR="00941198" w:rsidRPr="00B81350" w:rsidRDefault="00B81350" w:rsidP="00941198">
      <w:pPr>
        <w:pStyle w:val="JuHA"/>
      </w:pPr>
      <w:r w:rsidRPr="00B81350">
        <w:t>B.  Merits</w:t>
      </w:r>
    </w:p>
    <w:p w:rsidR="00CD49A7" w:rsidRDefault="003E3684" w:rsidP="003E3684">
      <w:pPr>
        <w:pStyle w:val="JuH1"/>
      </w:pPr>
      <w:r w:rsidRPr="00C7205C">
        <w:t>1.  </w:t>
      </w:r>
      <w:r>
        <w:t>The submissions of the parties</w:t>
      </w:r>
    </w:p>
    <w:p w:rsidR="00C74995" w:rsidRDefault="00770A40">
      <w:pPr>
        <w:pStyle w:val="JuPara"/>
      </w:pPr>
      <w:r>
        <w:fldChar w:fldCharType="begin"/>
      </w:r>
      <w:r>
        <w:instrText xml:space="preserve"> SEQ level0 \*arabic </w:instrText>
      </w:r>
      <w:r>
        <w:fldChar w:fldCharType="separate"/>
      </w:r>
      <w:r w:rsidR="005F3BDE">
        <w:rPr>
          <w:noProof/>
        </w:rPr>
        <w:t>36</w:t>
      </w:r>
      <w:r>
        <w:fldChar w:fldCharType="end"/>
      </w:r>
      <w:r>
        <w:t>.  </w:t>
      </w:r>
      <w:r w:rsidR="002268FF">
        <w:t>The Government submitted that following the final judgment of the Court of Appeal</w:t>
      </w:r>
      <w:r w:rsidR="00E76434">
        <w:t>,</w:t>
      </w:r>
      <w:r w:rsidR="002268FF">
        <w:t xml:space="preserve"> which held that </w:t>
      </w:r>
      <w:r w:rsidR="00A566ED">
        <w:t xml:space="preserve">it had not been proved that </w:t>
      </w:r>
      <w:r w:rsidR="002268FF">
        <w:t xml:space="preserve">the offence referred to in </w:t>
      </w:r>
      <w:r w:rsidR="00E76434">
        <w:t>A</w:t>
      </w:r>
      <w:r w:rsidR="002268FF">
        <w:t>rticle 137A of the Crimina</w:t>
      </w:r>
      <w:r w:rsidR="00E250FA">
        <w:t xml:space="preserve">l Code </w:t>
      </w:r>
      <w:r w:rsidR="00A566ED">
        <w:t>had been committed</w:t>
      </w:r>
      <w:r w:rsidR="00E250FA">
        <w:t>, there could</w:t>
      </w:r>
      <w:r w:rsidR="002268FF">
        <w:t xml:space="preserve"> be no question of inhuman and degrading treatment in breach of Article 3. </w:t>
      </w:r>
      <w:r w:rsidR="00E250FA">
        <w:t>In the Government</w:t>
      </w:r>
      <w:r w:rsidR="00E81900">
        <w:t>'</w:t>
      </w:r>
      <w:r w:rsidR="00E250FA">
        <w:t>s view, the Court had</w:t>
      </w:r>
      <w:r w:rsidR="00791015">
        <w:t xml:space="preserve"> no competence to </w:t>
      </w:r>
      <w:r w:rsidR="00C571F7">
        <w:t xml:space="preserve">assess the evidence and substitute its own assessment </w:t>
      </w:r>
      <w:r w:rsidR="00E76434">
        <w:t xml:space="preserve">for that </w:t>
      </w:r>
      <w:r w:rsidR="00C571F7">
        <w:t>of the domestic courts. As regards the applicant</w:t>
      </w:r>
      <w:r w:rsidR="00E81900">
        <w:t>'</w:t>
      </w:r>
      <w:r w:rsidR="00C571F7">
        <w:t xml:space="preserve">s injuries, the Court of Appeal relied on the evidence before it and in particular on the medical certificate </w:t>
      </w:r>
      <w:r w:rsidR="00E76434">
        <w:t>produced</w:t>
      </w:r>
      <w:r w:rsidR="00C571F7">
        <w:t xml:space="preserve"> by the </w:t>
      </w:r>
      <w:smartTag w:uri="urn:schemas-microsoft-com:office:smarttags" w:element="place">
        <w:r w:rsidR="00C571F7">
          <w:t>Cephalonia</w:t>
        </w:r>
      </w:smartTag>
      <w:r w:rsidR="00C571F7">
        <w:t xml:space="preserve"> </w:t>
      </w:r>
      <w:r w:rsidR="007F09F1">
        <w:t>h</w:t>
      </w:r>
      <w:r w:rsidR="00C571F7">
        <w:t>ospital</w:t>
      </w:r>
      <w:r w:rsidR="00E76434">
        <w:t>,</w:t>
      </w:r>
      <w:r w:rsidR="00212F69">
        <w:t xml:space="preserve"> and concluded that the</w:t>
      </w:r>
      <w:r w:rsidR="00E76434">
        <w:t xml:space="preserve"> injuries</w:t>
      </w:r>
      <w:r w:rsidR="00212F69">
        <w:t xml:space="preserve"> had been sustained prior to the applicant</w:t>
      </w:r>
      <w:r w:rsidR="00E81900">
        <w:t>'</w:t>
      </w:r>
      <w:r w:rsidR="00212F69">
        <w:t>s detention and had another cause.</w:t>
      </w:r>
    </w:p>
    <w:p w:rsidR="00C74995" w:rsidRDefault="00F123D7">
      <w:pPr>
        <w:pStyle w:val="JuPara"/>
      </w:pPr>
      <w:r>
        <w:fldChar w:fldCharType="begin"/>
      </w:r>
      <w:r>
        <w:instrText xml:space="preserve"> SEQ level0 \*arabic </w:instrText>
      </w:r>
      <w:r>
        <w:fldChar w:fldCharType="separate"/>
      </w:r>
      <w:r w:rsidR="005F3BDE">
        <w:rPr>
          <w:noProof/>
        </w:rPr>
        <w:t>37</w:t>
      </w:r>
      <w:r>
        <w:fldChar w:fldCharType="end"/>
      </w:r>
      <w:r>
        <w:t>.  </w:t>
      </w:r>
      <w:r w:rsidR="003D7C41">
        <w:t>The Government further contended that the applicant</w:t>
      </w:r>
      <w:r w:rsidR="00E81900">
        <w:t>'</w:t>
      </w:r>
      <w:r w:rsidR="003D7C41">
        <w:t xml:space="preserve">s case </w:t>
      </w:r>
      <w:r w:rsidR="00E76434">
        <w:t>had been</w:t>
      </w:r>
      <w:r w:rsidR="003D7C41">
        <w:t xml:space="preserve"> fully and effectively investigated at both </w:t>
      </w:r>
      <w:r w:rsidR="00E76434">
        <w:t xml:space="preserve">the </w:t>
      </w:r>
      <w:r w:rsidR="003D7C41">
        <w:t xml:space="preserve">administrative and </w:t>
      </w:r>
      <w:r w:rsidR="00E76434">
        <w:t xml:space="preserve">the </w:t>
      </w:r>
      <w:r w:rsidR="003D7C41">
        <w:t>judicial level</w:t>
      </w:r>
      <w:r w:rsidR="00E76434">
        <w:t>s</w:t>
      </w:r>
      <w:r w:rsidR="003D7C41">
        <w:t xml:space="preserve">, since a sworn administrative investigation was carried out and </w:t>
      </w:r>
      <w:r w:rsidR="00E40982">
        <w:t>two decisions and two judgment</w:t>
      </w:r>
      <w:r w:rsidR="00246B00">
        <w:t>s</w:t>
      </w:r>
      <w:r w:rsidR="00E40982">
        <w:t xml:space="preserve"> were</w:t>
      </w:r>
      <w:r w:rsidR="001236E7">
        <w:t xml:space="preserve"> </w:t>
      </w:r>
      <w:r w:rsidR="00E40982">
        <w:t>delivered</w:t>
      </w:r>
      <w:r w:rsidR="007C715B">
        <w:t>,</w:t>
      </w:r>
      <w:r w:rsidR="00E40982">
        <w:t xml:space="preserve"> by the </w:t>
      </w:r>
      <w:smartTag w:uri="urn:schemas-microsoft-com:office:smarttags" w:element="place">
        <w:r w:rsidR="001236E7">
          <w:t>Cephalonia</w:t>
        </w:r>
      </w:smartTag>
      <w:r w:rsidR="00DE4B6F">
        <w:t xml:space="preserve"> </w:t>
      </w:r>
      <w:r w:rsidR="007F09F1">
        <w:t>p</w:t>
      </w:r>
      <w:r w:rsidR="00DE4B6F">
        <w:t>rosecutor</w:t>
      </w:r>
      <w:r w:rsidR="001236E7">
        <w:t xml:space="preserve"> and by two criminal courts</w:t>
      </w:r>
      <w:r w:rsidR="00A566ED">
        <w:t xml:space="preserve"> respectively</w:t>
      </w:r>
      <w:r w:rsidR="001236E7">
        <w:t xml:space="preserve">. </w:t>
      </w:r>
      <w:r w:rsidR="00E52195">
        <w:t xml:space="preserve">Furthermore, all the charges brought against </w:t>
      </w:r>
      <w:r w:rsidR="001C3D47">
        <w:t>several police officers involved in the applicant</w:t>
      </w:r>
      <w:r w:rsidR="00E81900">
        <w:t>'</w:t>
      </w:r>
      <w:r w:rsidR="001C3D47">
        <w:t xml:space="preserve">s case </w:t>
      </w:r>
      <w:r w:rsidR="00852F35">
        <w:t>following</w:t>
      </w:r>
      <w:r w:rsidR="001C3D47">
        <w:t xml:space="preserve"> </w:t>
      </w:r>
      <w:r w:rsidR="00E52195">
        <w:t>the complaint lodged by the applicant on 1</w:t>
      </w:r>
      <w:r w:rsidR="00FE20C2">
        <w:t>8</w:t>
      </w:r>
      <w:r w:rsidR="00E52195">
        <w:t xml:space="preserve"> July 2005 </w:t>
      </w:r>
      <w:r w:rsidR="001C3D47">
        <w:t>were dropped.</w:t>
      </w:r>
    </w:p>
    <w:p w:rsidR="00C74995" w:rsidRDefault="00F123D7">
      <w:pPr>
        <w:pStyle w:val="JuPara"/>
      </w:pPr>
      <w:r>
        <w:fldChar w:fldCharType="begin"/>
      </w:r>
      <w:r>
        <w:instrText xml:space="preserve"> SEQ level0 \*arabic </w:instrText>
      </w:r>
      <w:r>
        <w:fldChar w:fldCharType="separate"/>
      </w:r>
      <w:r w:rsidR="005F3BDE">
        <w:rPr>
          <w:noProof/>
        </w:rPr>
        <w:t>38</w:t>
      </w:r>
      <w:r>
        <w:fldChar w:fldCharType="end"/>
      </w:r>
      <w:r>
        <w:t>.  </w:t>
      </w:r>
      <w:r w:rsidR="00B72453">
        <w:t xml:space="preserve">The applicant </w:t>
      </w:r>
      <w:r w:rsidR="00E76434">
        <w:t xml:space="preserve">emphasised </w:t>
      </w:r>
      <w:r w:rsidR="006676F2">
        <w:t>that he came out of the police station with injuries he did not have when he went in.</w:t>
      </w:r>
    </w:p>
    <w:p w:rsidR="00C74995" w:rsidRDefault="00F123D7">
      <w:pPr>
        <w:pStyle w:val="JuPara"/>
      </w:pPr>
      <w:r>
        <w:fldChar w:fldCharType="begin"/>
      </w:r>
      <w:r>
        <w:instrText xml:space="preserve"> SEQ level0 \*arabic </w:instrText>
      </w:r>
      <w:r>
        <w:fldChar w:fldCharType="separate"/>
      </w:r>
      <w:r w:rsidR="005F3BDE">
        <w:rPr>
          <w:noProof/>
        </w:rPr>
        <w:t>39</w:t>
      </w:r>
      <w:r>
        <w:fldChar w:fldCharType="end"/>
      </w:r>
      <w:r>
        <w:t>.  </w:t>
      </w:r>
      <w:r w:rsidR="008C2119">
        <w:t xml:space="preserve">The applicant further argued that there was a systematic failure to investigate his initial treatment and subsequent charges of </w:t>
      </w:r>
      <w:r w:rsidR="007F09F1">
        <w:t xml:space="preserve">a </w:t>
      </w:r>
      <w:r w:rsidR="008C2119">
        <w:t>cover-up by Greek police, independent and judicial authorities</w:t>
      </w:r>
      <w:r w:rsidR="00E76434">
        <w:t>,</w:t>
      </w:r>
      <w:r w:rsidR="008C2119">
        <w:t xml:space="preserve"> either </w:t>
      </w:r>
      <w:r w:rsidR="00852F35">
        <w:t>of their own motion</w:t>
      </w:r>
      <w:r w:rsidR="008C2119">
        <w:t xml:space="preserve"> when they were alerted about possible violations of the Convention or even after the applicant </w:t>
      </w:r>
      <w:r w:rsidR="00E76434">
        <w:t xml:space="preserve">had made </w:t>
      </w:r>
      <w:r w:rsidR="00234C57">
        <w:t xml:space="preserve">his </w:t>
      </w:r>
      <w:r w:rsidR="008C2119">
        <w:t xml:space="preserve">complaints, with the sole exception of the belated </w:t>
      </w:r>
      <w:r w:rsidR="00852F35">
        <w:t xml:space="preserve">committal for </w:t>
      </w:r>
      <w:r w:rsidR="008C2119">
        <w:t>trial of police officer N.K.</w:t>
      </w:r>
    </w:p>
    <w:p w:rsidR="003E3684" w:rsidRDefault="003E3684" w:rsidP="003E3684">
      <w:pPr>
        <w:pStyle w:val="JuH1"/>
      </w:pPr>
      <w:r>
        <w:t>2.  The Court</w:t>
      </w:r>
      <w:r w:rsidR="00E81900">
        <w:t>'</w:t>
      </w:r>
      <w:r>
        <w:t>s assessment</w:t>
      </w:r>
    </w:p>
    <w:p w:rsidR="004F3FE4" w:rsidRPr="004F3FE4" w:rsidRDefault="004F3FE4" w:rsidP="004F3FE4">
      <w:pPr>
        <w:pStyle w:val="JuHa0"/>
      </w:pPr>
      <w:r>
        <w:t>a. Concerning the alleged ill-treatment</w:t>
      </w:r>
    </w:p>
    <w:p w:rsidR="00715623" w:rsidRPr="00711111" w:rsidRDefault="00F123D7" w:rsidP="00715623">
      <w:pPr>
        <w:pStyle w:val="JuPara"/>
      </w:pPr>
      <w:r>
        <w:fldChar w:fldCharType="begin"/>
      </w:r>
      <w:r>
        <w:instrText xml:space="preserve"> SEQ level0 \*arabic </w:instrText>
      </w:r>
      <w:r>
        <w:fldChar w:fldCharType="separate"/>
      </w:r>
      <w:r w:rsidR="005F3BDE">
        <w:rPr>
          <w:noProof/>
        </w:rPr>
        <w:t>40</w:t>
      </w:r>
      <w:r>
        <w:fldChar w:fldCharType="end"/>
      </w:r>
      <w:r>
        <w:t>.  </w:t>
      </w:r>
      <w:r w:rsidR="00715623">
        <w:t>T</w:t>
      </w:r>
      <w:r w:rsidR="00715623" w:rsidRPr="00711111">
        <w:t xml:space="preserve">he Court reiterates that Article 3 enshrines one of the fundamental values of </w:t>
      </w:r>
      <w:r w:rsidR="00E76434">
        <w:t xml:space="preserve">a </w:t>
      </w:r>
      <w:r w:rsidR="00715623" w:rsidRPr="00711111">
        <w:t>democratic society. Even in the most difficult of circumstances, such as the fight against terrorism or crime, the Convention prohibits in absolute terms torture or inhuman or degrading treatment or punishment. Unlike most of the substantive clauses of the Convention and of Protocols Nos. 1 and 4, Article 3 makes no provision for exceptions and no derogation from it is permissible under Article 15 of the Convention even in the event of a public emergency threatening the life of the nation (</w:t>
      </w:r>
      <w:r w:rsidR="00A566ED">
        <w:t xml:space="preserve">see </w:t>
      </w:r>
      <w:r w:rsidR="00715623" w:rsidRPr="0074754C">
        <w:rPr>
          <w:i/>
        </w:rPr>
        <w:t>Assenov and Others v. Bulgaria</w:t>
      </w:r>
      <w:r w:rsidR="007F09F1">
        <w:rPr>
          <w:i/>
        </w:rPr>
        <w:t>,</w:t>
      </w:r>
      <w:r w:rsidR="00715623">
        <w:t xml:space="preserve"> judgment of 28 October 1998, </w:t>
      </w:r>
      <w:r w:rsidR="00715623">
        <w:rPr>
          <w:i/>
        </w:rPr>
        <w:t>Reports of Judgments and Decisions</w:t>
      </w:r>
      <w:r w:rsidR="00715623">
        <w:t xml:space="preserve"> 1998-VIII, </w:t>
      </w:r>
      <w:r w:rsidR="00715623" w:rsidRPr="00065F58">
        <w:t>§ 93</w:t>
      </w:r>
      <w:r w:rsidR="00715623" w:rsidRPr="00711111">
        <w:t>).</w:t>
      </w:r>
    </w:p>
    <w:p w:rsidR="00715623" w:rsidRDefault="00F123D7" w:rsidP="00715623">
      <w:pPr>
        <w:pStyle w:val="JuPara"/>
      </w:pPr>
      <w:r>
        <w:fldChar w:fldCharType="begin"/>
      </w:r>
      <w:r>
        <w:instrText xml:space="preserve"> SEQ level0 \*arabic </w:instrText>
      </w:r>
      <w:r>
        <w:fldChar w:fldCharType="separate"/>
      </w:r>
      <w:r w:rsidR="005F3BDE">
        <w:rPr>
          <w:noProof/>
        </w:rPr>
        <w:t>41</w:t>
      </w:r>
      <w:r>
        <w:fldChar w:fldCharType="end"/>
      </w:r>
      <w:r>
        <w:t>.  </w:t>
      </w:r>
      <w:r w:rsidR="00715623">
        <w:t xml:space="preserve">In assessing evidence the Court has generally applied the standard of proof “beyond reasonable doubt” (see </w:t>
      </w:r>
      <w:r w:rsidR="00715623">
        <w:rPr>
          <w:i/>
          <w:iCs/>
        </w:rPr>
        <w:t>Ireland v. the United Kingdom</w:t>
      </w:r>
      <w:r w:rsidR="00715623">
        <w:t>, judgment of 18 January 1978, Series A no. 2</w:t>
      </w:r>
      <w:r w:rsidR="007576AE">
        <w:t>5,</w:t>
      </w:r>
      <w:r w:rsidR="00234C57">
        <w:t xml:space="preserve"> § 161). S</w:t>
      </w:r>
      <w:r w:rsidR="00715623">
        <w:t xml:space="preserve">uch proof may follow from the coexistence of sufficiently strong, clear and concordant inferences or of similar unrebutted presumptions of fact. Where the events in issue lie wholly, or in large part, within the exclusive knowledge of the authorities, as in the case of persons </w:t>
      </w:r>
      <w:r w:rsidR="000B281A">
        <w:t>under</w:t>
      </w:r>
      <w:r w:rsidR="00715623">
        <w:t xml:space="preserve"> their control in custody, strong presumptions of fact will arise in respect of injuries occurring during such detention. Indeed, the burden of proof may be regarded as resting on the authorities to provide a satisfactory and convincing explanation (see </w:t>
      </w:r>
      <w:r w:rsidR="00715623">
        <w:rPr>
          <w:i/>
          <w:iCs/>
        </w:rPr>
        <w:t>Salman v. Turkey</w:t>
      </w:r>
      <w:r w:rsidR="00715623">
        <w:t xml:space="preserve"> [GC], no. 21986/93, § 100, ECHR 2000-VII).</w:t>
      </w:r>
    </w:p>
    <w:p w:rsidR="00C97AFF" w:rsidRDefault="00F123D7" w:rsidP="00C97AFF">
      <w:pPr>
        <w:pStyle w:val="JuPara"/>
      </w:pPr>
      <w:r>
        <w:fldChar w:fldCharType="begin"/>
      </w:r>
      <w:r>
        <w:instrText xml:space="preserve"> SEQ level0 \*arabic </w:instrText>
      </w:r>
      <w:r>
        <w:fldChar w:fldCharType="separate"/>
      </w:r>
      <w:r w:rsidR="005F3BDE">
        <w:rPr>
          <w:noProof/>
        </w:rPr>
        <w:t>42</w:t>
      </w:r>
      <w:r>
        <w:fldChar w:fldCharType="end"/>
      </w:r>
      <w:r>
        <w:t>.  </w:t>
      </w:r>
      <w:r w:rsidR="00C97AFF">
        <w:t>T</w:t>
      </w:r>
      <w:r w:rsidR="00C97AFF" w:rsidRPr="00DA52FF">
        <w:t xml:space="preserve">he Court </w:t>
      </w:r>
      <w:r w:rsidR="00C97AFF">
        <w:t>notes from the outset that it is common ground that the applicant suffered injuries on or around the date of his arrest. However, the parties disagreed on whether or not the injuries were caused by police officers. According to the Court</w:t>
      </w:r>
      <w:r w:rsidR="00E81900">
        <w:t>'</w:t>
      </w:r>
      <w:r w:rsidR="00C97AFF">
        <w:t>s case-law, “where an individual is taken into police custody in good health but is found to be injured at the time of release, it is incumbent on the State to provide a plausible explanation as to the causing of the injury, failing which a clear issue arises under Article 3 of the Convention” (</w:t>
      </w:r>
      <w:r w:rsidR="000B281A">
        <w:t xml:space="preserve">see </w:t>
      </w:r>
      <w:r w:rsidR="00C97AFF">
        <w:rPr>
          <w:i/>
        </w:rPr>
        <w:t>Aksoy v. Turkey</w:t>
      </w:r>
      <w:r w:rsidR="00C97AFF">
        <w:t xml:space="preserve">, judgment of 18 December 1996, </w:t>
      </w:r>
      <w:r w:rsidR="00C97AFF">
        <w:rPr>
          <w:i/>
        </w:rPr>
        <w:t xml:space="preserve">Reports </w:t>
      </w:r>
      <w:r w:rsidR="00C97AFF">
        <w:t>1996–VI, p. 2278, § 61).</w:t>
      </w:r>
    </w:p>
    <w:p w:rsidR="00C74995" w:rsidRDefault="00F123D7" w:rsidP="004757B3">
      <w:pPr>
        <w:pStyle w:val="JuPara"/>
      </w:pPr>
      <w:r>
        <w:fldChar w:fldCharType="begin"/>
      </w:r>
      <w:r>
        <w:instrText xml:space="preserve"> SEQ level0 \*arabic </w:instrText>
      </w:r>
      <w:r>
        <w:fldChar w:fldCharType="separate"/>
      </w:r>
      <w:r w:rsidR="005F3BDE">
        <w:rPr>
          <w:noProof/>
        </w:rPr>
        <w:t>43</w:t>
      </w:r>
      <w:r>
        <w:fldChar w:fldCharType="end"/>
      </w:r>
      <w:r>
        <w:t>.  </w:t>
      </w:r>
      <w:r w:rsidR="004757B3">
        <w:t xml:space="preserve">The Court </w:t>
      </w:r>
      <w:r w:rsidR="000B281A">
        <w:t>observes</w:t>
      </w:r>
      <w:r w:rsidR="004757B3">
        <w:t xml:space="preserve"> that as soon as the applicant left the police station he was admitted to the local hospital, the General Prefectural Medical Hospital of Cephalonia, which </w:t>
      </w:r>
      <w:r w:rsidR="000B281A">
        <w:t>recorded</w:t>
      </w:r>
      <w:r w:rsidR="004757B3">
        <w:t xml:space="preserve"> his injuries. It was specified in the certificate </w:t>
      </w:r>
      <w:r w:rsidR="00DE324B">
        <w:t>supplied</w:t>
      </w:r>
      <w:r w:rsidR="004757B3">
        <w:t xml:space="preserve"> by the hospital that the applicant </w:t>
      </w:r>
      <w:r w:rsidR="000B281A">
        <w:t xml:space="preserve">had a head injury </w:t>
      </w:r>
      <w:r w:rsidR="004757B3">
        <w:t xml:space="preserve">inflicted by beating, </w:t>
      </w:r>
      <w:r w:rsidR="000B281A">
        <w:t xml:space="preserve">also </w:t>
      </w:r>
      <w:r w:rsidR="004757B3">
        <w:t xml:space="preserve">dizziness, </w:t>
      </w:r>
      <w:r w:rsidR="000B281A">
        <w:t>a severe</w:t>
      </w:r>
      <w:r w:rsidR="004757B3">
        <w:t xml:space="preserve"> headache, swelling and sensitivity </w:t>
      </w:r>
      <w:r w:rsidR="000B281A">
        <w:t>of</w:t>
      </w:r>
      <w:r w:rsidR="004757B3">
        <w:t xml:space="preserve"> the nose and </w:t>
      </w:r>
      <w:r w:rsidR="000B281A">
        <w:t xml:space="preserve">some </w:t>
      </w:r>
      <w:r w:rsidR="004757B3">
        <w:t xml:space="preserve">difficulty in </w:t>
      </w:r>
      <w:r w:rsidR="000B281A">
        <w:t>maintaining eye focus</w:t>
      </w:r>
      <w:r w:rsidR="004757B3">
        <w:t>.</w:t>
      </w:r>
    </w:p>
    <w:p w:rsidR="00C74995" w:rsidRDefault="00F123D7" w:rsidP="004757B3">
      <w:pPr>
        <w:pStyle w:val="JuPara"/>
      </w:pPr>
      <w:r>
        <w:fldChar w:fldCharType="begin"/>
      </w:r>
      <w:r>
        <w:instrText xml:space="preserve"> SEQ level0 \*arabic </w:instrText>
      </w:r>
      <w:r>
        <w:fldChar w:fldCharType="separate"/>
      </w:r>
      <w:r w:rsidR="005F3BDE">
        <w:rPr>
          <w:noProof/>
        </w:rPr>
        <w:t>44</w:t>
      </w:r>
      <w:r>
        <w:fldChar w:fldCharType="end"/>
      </w:r>
      <w:r>
        <w:t>.  </w:t>
      </w:r>
      <w:r w:rsidR="00DA2361">
        <w:t>The Criminal Court of Cephalonia held that o</w:t>
      </w:r>
      <w:r w:rsidR="00D25257">
        <w:t>ne police officer had</w:t>
      </w:r>
      <w:r w:rsidR="00DA2361">
        <w:t xml:space="preserve"> repeatedly punched the applicant </w:t>
      </w:r>
      <w:r w:rsidR="000B281A">
        <w:t xml:space="preserve">in the head </w:t>
      </w:r>
      <w:r w:rsidR="00DA2361">
        <w:t xml:space="preserve">and caused him serious bodily harm. The finding of the Criminal Court </w:t>
      </w:r>
      <w:r w:rsidR="008E2DD1">
        <w:t>was largely based on the</w:t>
      </w:r>
      <w:r w:rsidR="00DA2361">
        <w:t xml:space="preserve"> conclusion</w:t>
      </w:r>
      <w:r w:rsidR="008E2DD1">
        <w:t>s of</w:t>
      </w:r>
      <w:r w:rsidR="00DA2361">
        <w:t xml:space="preserve"> the</w:t>
      </w:r>
      <w:r w:rsidR="008E2DD1">
        <w:t xml:space="preserve"> medical certificate. </w:t>
      </w:r>
      <w:r w:rsidR="00852F35">
        <w:t>T</w:t>
      </w:r>
      <w:r w:rsidR="008E2DD1">
        <w:t>he Appeal Court</w:t>
      </w:r>
      <w:r w:rsidR="00852F35">
        <w:t>, however,</w:t>
      </w:r>
      <w:r w:rsidR="008E2DD1">
        <w:t xml:space="preserve"> </w:t>
      </w:r>
      <w:r w:rsidR="003124A4">
        <w:t xml:space="preserve">ruled </w:t>
      </w:r>
      <w:r w:rsidR="00372CF3">
        <w:t xml:space="preserve">that the bodily injuries </w:t>
      </w:r>
      <w:r w:rsidR="00852F35">
        <w:t>certified</w:t>
      </w:r>
      <w:r w:rsidR="00372CF3">
        <w:t xml:space="preserve"> by the Cephalonia </w:t>
      </w:r>
      <w:r w:rsidR="007F09F1">
        <w:t>h</w:t>
      </w:r>
      <w:r w:rsidR="00372CF3">
        <w:t>ospital</w:t>
      </w:r>
      <w:r w:rsidR="00E81900">
        <w:t>'</w:t>
      </w:r>
      <w:r w:rsidR="00372CF3">
        <w:t>s certi</w:t>
      </w:r>
      <w:r w:rsidR="009D6345">
        <w:t>ficate were caused to the applicant</w:t>
      </w:r>
      <w:r w:rsidR="00372CF3">
        <w:t xml:space="preserve"> not by police officer N.K., but during a fight that had taken place </w:t>
      </w:r>
      <w:r w:rsidR="000B281A">
        <w:t>on</w:t>
      </w:r>
      <w:r w:rsidR="00372CF3">
        <w:t xml:space="preserve"> the night of 4 </w:t>
      </w:r>
      <w:r w:rsidR="009D6345">
        <w:t>August 2001, in which the applicant</w:t>
      </w:r>
      <w:r w:rsidR="00372CF3">
        <w:t xml:space="preserve"> had participated actively, as he </w:t>
      </w:r>
      <w:r w:rsidR="00A566ED">
        <w:t xml:space="preserve">had </w:t>
      </w:r>
      <w:r w:rsidR="000B281A">
        <w:t xml:space="preserve">arrived at </w:t>
      </w:r>
      <w:r w:rsidR="00372CF3">
        <w:t xml:space="preserve">the </w:t>
      </w:r>
      <w:r w:rsidR="000B281A">
        <w:t xml:space="preserve">Argostoli </w:t>
      </w:r>
      <w:r w:rsidR="00372CF3">
        <w:t xml:space="preserve">Police Security Department with </w:t>
      </w:r>
      <w:r w:rsidR="000B281A">
        <w:t>a</w:t>
      </w:r>
      <w:r w:rsidR="00372CF3">
        <w:t xml:space="preserve"> broken</w:t>
      </w:r>
      <w:r w:rsidR="000B281A">
        <w:t xml:space="preserve"> right arm</w:t>
      </w:r>
      <w:r w:rsidR="00F70312">
        <w:t xml:space="preserve">. </w:t>
      </w:r>
      <w:r w:rsidR="003C4014">
        <w:t>The Court of A</w:t>
      </w:r>
      <w:r w:rsidR="00453C7C">
        <w:t>ppeal based</w:t>
      </w:r>
      <w:r w:rsidR="003C4014">
        <w:t xml:space="preserve"> this conclusion </w:t>
      </w:r>
      <w:r w:rsidR="00767CF0">
        <w:t xml:space="preserve">on </w:t>
      </w:r>
      <w:r w:rsidR="00A566ED">
        <w:t xml:space="preserve">a statement by </w:t>
      </w:r>
      <w:r w:rsidR="003C4014">
        <w:t>the owner of the kiosk who reported the theft</w:t>
      </w:r>
      <w:r w:rsidR="000B281A">
        <w:t xml:space="preserve">, </w:t>
      </w:r>
      <w:r w:rsidR="00453C7C">
        <w:t xml:space="preserve">who </w:t>
      </w:r>
      <w:smartTag w:uri="urn:schemas-microsoft-com:office:smarttags" w:element="PersonName">
        <w:r w:rsidR="00453C7C">
          <w:t>test</w:t>
        </w:r>
      </w:smartTag>
      <w:r w:rsidR="00453C7C">
        <w:t>ified that he had seen</w:t>
      </w:r>
      <w:r w:rsidR="003C4014">
        <w:t xml:space="preserve"> the </w:t>
      </w:r>
      <w:r w:rsidR="00453C7C">
        <w:t xml:space="preserve">applicant having his hand bandaged. It was the same witness who alleged that the applicant had </w:t>
      </w:r>
      <w:r w:rsidR="000B281A">
        <w:t>been</w:t>
      </w:r>
      <w:r w:rsidR="00453C7C">
        <w:t xml:space="preserve"> in a fight with other Roma the evening </w:t>
      </w:r>
      <w:r w:rsidR="000B281A">
        <w:t>before</w:t>
      </w:r>
      <w:r w:rsidR="00453C7C">
        <w:t xml:space="preserve"> the arrest.</w:t>
      </w:r>
    </w:p>
    <w:p w:rsidR="00C74995" w:rsidRDefault="00F123D7" w:rsidP="00C97AFF">
      <w:pPr>
        <w:pStyle w:val="JuPara"/>
      </w:pPr>
      <w:r>
        <w:fldChar w:fldCharType="begin"/>
      </w:r>
      <w:r>
        <w:instrText xml:space="preserve"> SEQ level0 \*arabic </w:instrText>
      </w:r>
      <w:r>
        <w:fldChar w:fldCharType="separate"/>
      </w:r>
      <w:r w:rsidR="005F3BDE">
        <w:rPr>
          <w:noProof/>
        </w:rPr>
        <w:t>45</w:t>
      </w:r>
      <w:r>
        <w:fldChar w:fldCharType="end"/>
      </w:r>
      <w:r>
        <w:t>.  </w:t>
      </w:r>
      <w:r w:rsidR="00DD4C5A">
        <w:t xml:space="preserve">However, the Court notes that the </w:t>
      </w:r>
      <w:smartTag w:uri="urn:schemas-microsoft-com:office:smarttags" w:element="place">
        <w:r w:rsidR="00DD4C5A">
          <w:t>Cephalonia</w:t>
        </w:r>
      </w:smartTag>
      <w:r w:rsidR="00DD4C5A">
        <w:t xml:space="preserve"> </w:t>
      </w:r>
      <w:r w:rsidR="007F09F1">
        <w:t>h</w:t>
      </w:r>
      <w:r w:rsidR="00DD4C5A">
        <w:t>ospital certificate, which descr</w:t>
      </w:r>
      <w:r w:rsidR="003D26D8">
        <w:t>ibes in detail the injuries sustained</w:t>
      </w:r>
      <w:r w:rsidR="00DD4C5A">
        <w:t xml:space="preserve"> by the</w:t>
      </w:r>
      <w:r w:rsidR="004B295B">
        <w:t xml:space="preserve"> applicant</w:t>
      </w:r>
      <w:r w:rsidR="000B281A">
        <w:t xml:space="preserve">, contains </w:t>
      </w:r>
      <w:r w:rsidR="004B295B">
        <w:t>no mention of a broken</w:t>
      </w:r>
      <w:r w:rsidR="003D26D8">
        <w:t xml:space="preserve"> arm</w:t>
      </w:r>
      <w:r w:rsidR="004B295B">
        <w:t xml:space="preserve">. </w:t>
      </w:r>
      <w:r w:rsidR="00A42D51">
        <w:t>In addition, even assuming that the applicant had a broken a</w:t>
      </w:r>
      <w:r w:rsidR="009D6345">
        <w:t xml:space="preserve">rm, he complained </w:t>
      </w:r>
      <w:r w:rsidR="000B281A">
        <w:t xml:space="preserve">that he had received </w:t>
      </w:r>
      <w:r w:rsidR="009D6345">
        <w:t>blows to</w:t>
      </w:r>
      <w:r w:rsidR="00A42D51">
        <w:t xml:space="preserve"> the head </w:t>
      </w:r>
      <w:r w:rsidR="000B281A">
        <w:t xml:space="preserve">while he was at </w:t>
      </w:r>
      <w:r w:rsidR="00C1354A">
        <w:t>the police station</w:t>
      </w:r>
      <w:r w:rsidR="000B281A">
        <w:t>,</w:t>
      </w:r>
      <w:r w:rsidR="00C1354A">
        <w:t xml:space="preserve"> </w:t>
      </w:r>
      <w:r w:rsidR="00A42D51">
        <w:t>and this was indeed the type of injur</w:t>
      </w:r>
      <w:r w:rsidR="000B281A">
        <w:t>y</w:t>
      </w:r>
      <w:r w:rsidR="00A42D51">
        <w:t xml:space="preserve"> certified by the hospital doctor who examined him.</w:t>
      </w:r>
    </w:p>
    <w:p w:rsidR="00192937" w:rsidRDefault="00F123D7" w:rsidP="00C97AFF">
      <w:pPr>
        <w:pStyle w:val="JuPara"/>
      </w:pPr>
      <w:r>
        <w:fldChar w:fldCharType="begin"/>
      </w:r>
      <w:r>
        <w:instrText xml:space="preserve"> SEQ level0 \*arabic </w:instrText>
      </w:r>
      <w:r>
        <w:fldChar w:fldCharType="separate"/>
      </w:r>
      <w:r w:rsidR="005F3BDE">
        <w:rPr>
          <w:noProof/>
        </w:rPr>
        <w:t>46</w:t>
      </w:r>
      <w:r>
        <w:fldChar w:fldCharType="end"/>
      </w:r>
      <w:r>
        <w:t>.  </w:t>
      </w:r>
      <w:r w:rsidR="00192937">
        <w:t>The fact that the applicant was not identified by the kiosk owner who reported the theft and who might have had doubts as to whether the ap</w:t>
      </w:r>
      <w:r w:rsidR="00D25257">
        <w:t xml:space="preserve">plicant was part of the </w:t>
      </w:r>
      <w:r w:rsidR="000B281A">
        <w:t>gang</w:t>
      </w:r>
      <w:r w:rsidR="0096180A">
        <w:t xml:space="preserve"> which</w:t>
      </w:r>
      <w:r w:rsidR="00192937">
        <w:t xml:space="preserve"> committed the theft, does not exclude </w:t>
      </w:r>
      <w:r w:rsidR="000B281A">
        <w:t xml:space="preserve">the possibility </w:t>
      </w:r>
      <w:r w:rsidR="00F144F7">
        <w:t xml:space="preserve">that the police did not attempt to make him confess </w:t>
      </w:r>
      <w:r w:rsidR="000B281A">
        <w:t xml:space="preserve">because </w:t>
      </w:r>
      <w:r w:rsidR="00F144F7">
        <w:t>all the minors arrested were friends.</w:t>
      </w:r>
    </w:p>
    <w:p w:rsidR="004757B3" w:rsidRPr="003B1355" w:rsidRDefault="00F123D7" w:rsidP="00C97AFF">
      <w:pPr>
        <w:pStyle w:val="JuPara"/>
        <w:rPr>
          <w:b/>
        </w:rPr>
      </w:pPr>
      <w:r>
        <w:fldChar w:fldCharType="begin"/>
      </w:r>
      <w:r>
        <w:instrText xml:space="preserve"> SEQ level0 \*arabic </w:instrText>
      </w:r>
      <w:r>
        <w:fldChar w:fldCharType="separate"/>
      </w:r>
      <w:r w:rsidR="005F3BDE">
        <w:rPr>
          <w:noProof/>
        </w:rPr>
        <w:t>47</w:t>
      </w:r>
      <w:r>
        <w:fldChar w:fldCharType="end"/>
      </w:r>
      <w:r>
        <w:t>.  </w:t>
      </w:r>
      <w:r w:rsidR="003D26D8">
        <w:t xml:space="preserve">The Court thus </w:t>
      </w:r>
      <w:r w:rsidR="00DE324B">
        <w:t xml:space="preserve">has </w:t>
      </w:r>
      <w:r w:rsidR="003D26D8">
        <w:t>serious doubts as to whether the alleged fight in which the applicant participated provides a convincing explanation of the origin and cause of the applicant</w:t>
      </w:r>
      <w:r w:rsidR="00E81900">
        <w:t>'</w:t>
      </w:r>
      <w:r w:rsidR="003D26D8">
        <w:t xml:space="preserve">s </w:t>
      </w:r>
      <w:r w:rsidR="000B281A">
        <w:t xml:space="preserve">head </w:t>
      </w:r>
      <w:r w:rsidR="003D26D8">
        <w:t>injuries.</w:t>
      </w:r>
      <w:r w:rsidR="009214E9">
        <w:t xml:space="preserve"> The Court </w:t>
      </w:r>
      <w:r w:rsidR="003B1355" w:rsidRPr="00767CF0">
        <w:t>considers that these doubts are supported by the inadequacy of the investigation into this particular aspect. The Court reiterates that where an individual makes a credible</w:t>
      </w:r>
      <w:r w:rsidR="00085651" w:rsidRPr="00767CF0">
        <w:t xml:space="preserve"> assertion</w:t>
      </w:r>
      <w:r w:rsidR="003B1355" w:rsidRPr="00767CF0">
        <w:t xml:space="preserve"> that he has suffered treatment infringing Article 3 at the hands of the police</w:t>
      </w:r>
      <w:r w:rsidR="00085651" w:rsidRPr="00767CF0">
        <w:t>,</w:t>
      </w:r>
      <w:r w:rsidR="003B1355" w:rsidRPr="00767CF0">
        <w:t xml:space="preserve"> that </w:t>
      </w:r>
      <w:r w:rsidR="002122DC" w:rsidRPr="00767CF0">
        <w:t>provision requires by implication that there should be an effective official investigation. Otherwise, the general legal prohibition of torture and inhuman and degrading treatment and punishment would be ineffective in practice and it would be possible in some cases for agents of the State to abuse the rights of those within their control with virtual impunity.</w:t>
      </w:r>
    </w:p>
    <w:p w:rsidR="00C74995" w:rsidRDefault="006845FB" w:rsidP="00C97AFF">
      <w:pPr>
        <w:pStyle w:val="JuPara"/>
      </w:pPr>
      <w:r w:rsidRPr="00767CF0">
        <w:fldChar w:fldCharType="begin"/>
      </w:r>
      <w:r w:rsidRPr="00767CF0">
        <w:instrText xml:space="preserve"> SEQ level0 \*arabic </w:instrText>
      </w:r>
      <w:r w:rsidRPr="00767CF0">
        <w:fldChar w:fldCharType="separate"/>
      </w:r>
      <w:r w:rsidR="005F3BDE">
        <w:rPr>
          <w:noProof/>
        </w:rPr>
        <w:t>48</w:t>
      </w:r>
      <w:r w:rsidRPr="00767CF0">
        <w:fldChar w:fldCharType="end"/>
      </w:r>
      <w:r w:rsidR="00225146" w:rsidRPr="00767CF0">
        <w:t xml:space="preserve">.  Having regard to this, the Court considers that a number of shortcomings in the investigation occurred. First, the investigation was carried out by a police officer from the Directorate responsible for the police station of the alleged perpetrators. Second, the witness P.P. whose </w:t>
      </w:r>
      <w:smartTag w:uri="urn:schemas-microsoft-com:office:smarttags" w:element="PersonName">
        <w:r w:rsidR="00225146" w:rsidRPr="00767CF0">
          <w:t>test</w:t>
        </w:r>
      </w:smartTag>
      <w:r w:rsidR="00225146" w:rsidRPr="00767CF0">
        <w:t xml:space="preserve">imony appeared to be crucial in the </w:t>
      </w:r>
      <w:r w:rsidR="00C43DBA" w:rsidRPr="00767CF0">
        <w:t>national courts</w:t>
      </w:r>
      <w:r w:rsidR="00E81900">
        <w:t>'</w:t>
      </w:r>
      <w:r w:rsidR="00C43DBA" w:rsidRPr="00767CF0">
        <w:t xml:space="preserve"> assessment was nothing but hearsay and neither the </w:t>
      </w:r>
      <w:smartTag w:uri="urn:schemas-microsoft-com:office:smarttags" w:element="place">
        <w:smartTag w:uri="urn:schemas-microsoft-com:office:smarttags" w:element="City">
          <w:r w:rsidR="00C43DBA" w:rsidRPr="00767CF0">
            <w:t>EDE</w:t>
          </w:r>
        </w:smartTag>
      </w:smartTag>
      <w:r w:rsidR="00C43DBA" w:rsidRPr="00767CF0">
        <w:t xml:space="preserve"> nor the subsequent investigations of the prosecuting authorities established the applicant</w:t>
      </w:r>
      <w:r w:rsidR="00E81900">
        <w:t>'</w:t>
      </w:r>
      <w:r w:rsidR="00C43DBA" w:rsidRPr="00767CF0">
        <w:t xml:space="preserve">s state of health at the time he arrived at the police station. </w:t>
      </w:r>
      <w:r w:rsidR="001A26F8" w:rsidRPr="00767CF0">
        <w:t xml:space="preserve">It does not appear that any serious attempt was made to elucidate </w:t>
      </w:r>
      <w:r w:rsidR="00CF2686" w:rsidRPr="00767CF0">
        <w:t>whether the applicant had actually participated in a previous fight or any other event which could have caused the injuries he had.</w:t>
      </w:r>
    </w:p>
    <w:p w:rsidR="00CF2686" w:rsidRPr="00767CF0" w:rsidRDefault="00CF2686" w:rsidP="00C97AFF">
      <w:pPr>
        <w:pStyle w:val="JuPara"/>
      </w:pPr>
      <w:r w:rsidRPr="00767CF0">
        <w:fldChar w:fldCharType="begin"/>
      </w:r>
      <w:r w:rsidRPr="00767CF0">
        <w:instrText xml:space="preserve"> SEQ level0 \*arabic </w:instrText>
      </w:r>
      <w:r w:rsidRPr="00767CF0">
        <w:fldChar w:fldCharType="separate"/>
      </w:r>
      <w:r w:rsidR="005F3BDE">
        <w:rPr>
          <w:noProof/>
        </w:rPr>
        <w:t>49</w:t>
      </w:r>
      <w:r w:rsidRPr="00767CF0">
        <w:fldChar w:fldCharType="end"/>
      </w:r>
      <w:r w:rsidRPr="00767CF0">
        <w:t>.  For these reasons the Court considers that the Government have not established beyond reasonable doubt that the brui</w:t>
      </w:r>
      <w:r w:rsidR="00767CF0">
        <w:t>ses on the applicant</w:t>
      </w:r>
      <w:r w:rsidR="00E81900">
        <w:t>'</w:t>
      </w:r>
      <w:r w:rsidR="00767CF0">
        <w:t>s head pre-</w:t>
      </w:r>
      <w:r w:rsidRPr="00767CF0">
        <w:t>dated his questioning at the police station.</w:t>
      </w:r>
    </w:p>
    <w:p w:rsidR="004757B3" w:rsidRDefault="00F123D7" w:rsidP="004757B3">
      <w:pPr>
        <w:pStyle w:val="JuPara"/>
      </w:pPr>
      <w:r>
        <w:fldChar w:fldCharType="begin"/>
      </w:r>
      <w:r>
        <w:instrText xml:space="preserve"> SEQ level0 \*arabic </w:instrText>
      </w:r>
      <w:r>
        <w:fldChar w:fldCharType="separate"/>
      </w:r>
      <w:r w:rsidR="005F3BDE">
        <w:rPr>
          <w:noProof/>
        </w:rPr>
        <w:t>50</w:t>
      </w:r>
      <w:r>
        <w:fldChar w:fldCharType="end"/>
      </w:r>
      <w:r>
        <w:t>.  </w:t>
      </w:r>
      <w:r w:rsidR="004757B3">
        <w:t xml:space="preserve">The </w:t>
      </w:r>
      <w:r w:rsidR="00CF2686">
        <w:t xml:space="preserve">next </w:t>
      </w:r>
      <w:r w:rsidR="004757B3">
        <w:t xml:space="preserve">question which arises is whether the minimum level of severity required for a violation of Article 3 of the Convention can be regarded as having been attained in the instant case (see, among other authorities, </w:t>
      </w:r>
      <w:r w:rsidR="004757B3" w:rsidRPr="008C7F10">
        <w:rPr>
          <w:i/>
        </w:rPr>
        <w:t>İlhan v. Turkey</w:t>
      </w:r>
      <w:r w:rsidR="004757B3">
        <w:t xml:space="preserve"> [GC], no. 22277/93, § 84, ECHR 2000-VII). The Court </w:t>
      </w:r>
      <w:r w:rsidR="000B281A">
        <w:t>reiterates</w:t>
      </w:r>
      <w:r w:rsidR="004757B3">
        <w:t xml:space="preserve"> that the assessment of this minimum is relative: it depends on all the circumstances of the case, such as the duration of the treatment, its physical and/or mental effects and, in some cases, the sex, age and state of health of the victim (see, among other authorities, </w:t>
      </w:r>
      <w:r w:rsidR="004757B3">
        <w:rPr>
          <w:i/>
        </w:rPr>
        <w:t>Tekin v. Turkey</w:t>
      </w:r>
      <w:r w:rsidR="004757B3">
        <w:t xml:space="preserve">, judgment of 9 June 1998, </w:t>
      </w:r>
      <w:r w:rsidR="004757B3">
        <w:rPr>
          <w:i/>
        </w:rPr>
        <w:t>Reports</w:t>
      </w:r>
      <w:r w:rsidR="004757B3">
        <w:t xml:space="preserve"> 1998-IV, p. 1517, § 52).</w:t>
      </w:r>
    </w:p>
    <w:p w:rsidR="00C74995" w:rsidRDefault="00F123D7" w:rsidP="00C97AFF">
      <w:pPr>
        <w:pStyle w:val="JuPara"/>
      </w:pPr>
      <w:r>
        <w:fldChar w:fldCharType="begin"/>
      </w:r>
      <w:r>
        <w:instrText xml:space="preserve"> SEQ level0 \*arabic </w:instrText>
      </w:r>
      <w:r>
        <w:fldChar w:fldCharType="separate"/>
      </w:r>
      <w:r w:rsidR="005F3BDE">
        <w:rPr>
          <w:noProof/>
        </w:rPr>
        <w:t>51</w:t>
      </w:r>
      <w:r>
        <w:fldChar w:fldCharType="end"/>
      </w:r>
      <w:r>
        <w:t>.  </w:t>
      </w:r>
      <w:r w:rsidR="004757B3">
        <w:t xml:space="preserve">In that </w:t>
      </w:r>
      <w:r w:rsidR="00852F35">
        <w:t>connection</w:t>
      </w:r>
      <w:r w:rsidR="004757B3">
        <w:t xml:space="preserve"> the Court notes that at the time of the events the applicant was </w:t>
      </w:r>
      <w:r w:rsidR="00CF5686">
        <w:t xml:space="preserve">a </w:t>
      </w:r>
      <w:r w:rsidR="000B281A">
        <w:t>sixteen-</w:t>
      </w:r>
      <w:r w:rsidR="004757B3">
        <w:t>year</w:t>
      </w:r>
      <w:r w:rsidR="000B281A">
        <w:t>-</w:t>
      </w:r>
      <w:r w:rsidR="004757B3">
        <w:t>old</w:t>
      </w:r>
      <w:r w:rsidR="00CF5686">
        <w:t xml:space="preserve"> minor</w:t>
      </w:r>
      <w:r w:rsidR="004757B3">
        <w:t>.</w:t>
      </w:r>
    </w:p>
    <w:p w:rsidR="007B4D9A" w:rsidRDefault="00F123D7" w:rsidP="007B4D9A">
      <w:pPr>
        <w:pStyle w:val="JuPara"/>
      </w:pPr>
      <w:r>
        <w:fldChar w:fldCharType="begin"/>
      </w:r>
      <w:r>
        <w:instrText xml:space="preserve"> SEQ level0 \*arabic </w:instrText>
      </w:r>
      <w:r>
        <w:fldChar w:fldCharType="separate"/>
      </w:r>
      <w:r w:rsidR="005F3BDE">
        <w:rPr>
          <w:noProof/>
        </w:rPr>
        <w:t>52</w:t>
      </w:r>
      <w:r>
        <w:fldChar w:fldCharType="end"/>
      </w:r>
      <w:r>
        <w:t>.  </w:t>
      </w:r>
      <w:r w:rsidR="00C45B70">
        <w:t>T</w:t>
      </w:r>
      <w:r w:rsidR="007B4D9A" w:rsidRPr="00826C86">
        <w:t>he Court considers that the serious physical harm suffered by the applicant at the hands of the police</w:t>
      </w:r>
      <w:r w:rsidR="00C45B70">
        <w:t xml:space="preserve"> </w:t>
      </w:r>
      <w:r w:rsidR="00C45B70" w:rsidRPr="00767CF0">
        <w:t xml:space="preserve">as confirmed by the medical evidence </w:t>
      </w:r>
      <w:r w:rsidR="0095587C" w:rsidRPr="00767CF0">
        <w:t xml:space="preserve">submitted certainly brings into play Article 3 of the Convention. Having regard to the above findings, the Court </w:t>
      </w:r>
      <w:r w:rsidR="00767CF0">
        <w:t xml:space="preserve">concludes </w:t>
      </w:r>
      <w:r w:rsidR="0095587C" w:rsidRPr="00767CF0">
        <w:t xml:space="preserve">that this physical harm was </w:t>
      </w:r>
      <w:r w:rsidR="00767CF0" w:rsidRPr="00767CF0">
        <w:t>infli</w:t>
      </w:r>
      <w:r w:rsidR="00767CF0">
        <w:t>ct</w:t>
      </w:r>
      <w:r w:rsidR="00767CF0" w:rsidRPr="00767CF0">
        <w:t>ed</w:t>
      </w:r>
      <w:r w:rsidR="0095587C" w:rsidRPr="00767CF0">
        <w:t xml:space="preserve"> by the police. </w:t>
      </w:r>
      <w:r w:rsidR="00DC1A92" w:rsidRPr="00767CF0">
        <w:t>This</w:t>
      </w:r>
      <w:r w:rsidR="007B4D9A" w:rsidRPr="00826C86">
        <w:t xml:space="preserve">, as well as the feelings of fear, anguish and inferiority which the impugned treatment </w:t>
      </w:r>
      <w:r w:rsidR="00D25257">
        <w:t>produced in him as a result of his young age, must have caused him</w:t>
      </w:r>
      <w:r w:rsidR="007B4D9A" w:rsidRPr="00826C86">
        <w:t xml:space="preserve"> suffering of sufficient severity for the acts of the police to be categorised as inhuman and degrading treatment within the meaning of Article 3 of the Convention</w:t>
      </w:r>
      <w:r w:rsidR="007B4D9A">
        <w:t xml:space="preserve"> (see, </w:t>
      </w:r>
      <w:r w:rsidR="007B4D9A" w:rsidRPr="007B4D9A">
        <w:rPr>
          <w:i/>
        </w:rPr>
        <w:t>mutatis mutandis, Bekos and Koutropoulos v. Greece</w:t>
      </w:r>
      <w:r w:rsidR="003B2CD0">
        <w:t>, n</w:t>
      </w:r>
      <w:r w:rsidR="00852F35">
        <w:t>o.</w:t>
      </w:r>
      <w:r w:rsidR="003B2CD0">
        <w:t xml:space="preserve"> 15250/02, 13 </w:t>
      </w:r>
      <w:r w:rsidR="007B4D9A">
        <w:t>December 2005, § 51)</w:t>
      </w:r>
      <w:r w:rsidR="007B4D9A" w:rsidRPr="00826C86">
        <w:t>.</w:t>
      </w:r>
      <w:r w:rsidR="00B97C66">
        <w:t xml:space="preserve"> </w:t>
      </w:r>
      <w:r w:rsidR="007B4D9A">
        <w:t>The Court concludes that there has been a breach of Arti</w:t>
      </w:r>
      <w:r w:rsidR="00C55DCC">
        <w:t>cle 3 of the Convention</w:t>
      </w:r>
      <w:r w:rsidR="00B4689D">
        <w:t>.</w:t>
      </w:r>
    </w:p>
    <w:p w:rsidR="001C7158" w:rsidRDefault="001C7158" w:rsidP="00B42B3A">
      <w:pPr>
        <w:pStyle w:val="JuHa0"/>
      </w:pPr>
      <w:r>
        <w:t>b. The alleged inadequacy of the investigation</w:t>
      </w:r>
    </w:p>
    <w:p w:rsidR="001C7158" w:rsidRPr="00767CF0" w:rsidRDefault="001C7158" w:rsidP="007B4D9A">
      <w:pPr>
        <w:pStyle w:val="JuPara"/>
      </w:pPr>
      <w:r w:rsidRPr="00767CF0">
        <w:fldChar w:fldCharType="begin"/>
      </w:r>
      <w:r w:rsidRPr="00767CF0">
        <w:instrText xml:space="preserve"> SEQ level0 \*arabic </w:instrText>
      </w:r>
      <w:r w:rsidRPr="00767CF0">
        <w:fldChar w:fldCharType="separate"/>
      </w:r>
      <w:r w:rsidR="005F3BDE">
        <w:rPr>
          <w:noProof/>
        </w:rPr>
        <w:t>53</w:t>
      </w:r>
      <w:r w:rsidRPr="00767CF0">
        <w:fldChar w:fldCharType="end"/>
      </w:r>
      <w:r w:rsidRPr="00767CF0">
        <w:t>.  The Court finds, in the light of its above findings, that it is not necessary to examine separately whether or not the investigation into the ill-treatment would comply with the requirements of Article 3 of the Convention.</w:t>
      </w:r>
    </w:p>
    <w:p w:rsidR="006A43F6" w:rsidRPr="00E91D6E" w:rsidRDefault="006A43F6" w:rsidP="006A43F6">
      <w:pPr>
        <w:pStyle w:val="JuHIRomanChar"/>
      </w:pPr>
      <w:r>
        <w:t>II.  </w:t>
      </w:r>
      <w:r w:rsidRPr="00E91D6E">
        <w:t xml:space="preserve">ALLEGED VIOLATION OF ARTICLE </w:t>
      </w:r>
      <w:r>
        <w:t>13</w:t>
      </w:r>
      <w:r w:rsidRPr="00E91D6E">
        <w:t xml:space="preserve"> OF THE CONVENTION</w:t>
      </w:r>
    </w:p>
    <w:p w:rsidR="006A43F6" w:rsidRDefault="00B26B28" w:rsidP="006A43F6">
      <w:pPr>
        <w:pStyle w:val="JuPara"/>
      </w:pPr>
      <w:r>
        <w:fldChar w:fldCharType="begin"/>
      </w:r>
      <w:r>
        <w:instrText xml:space="preserve"> SEQ level0 \*arabic </w:instrText>
      </w:r>
      <w:r>
        <w:fldChar w:fldCharType="separate"/>
      </w:r>
      <w:r w:rsidR="005F3BDE">
        <w:rPr>
          <w:noProof/>
        </w:rPr>
        <w:t>54</w:t>
      </w:r>
      <w:r>
        <w:fldChar w:fldCharType="end"/>
      </w:r>
      <w:r>
        <w:t>.  </w:t>
      </w:r>
      <w:r w:rsidR="008C5741">
        <w:t xml:space="preserve">The applicant complained </w:t>
      </w:r>
      <w:r w:rsidR="009F494B">
        <w:t xml:space="preserve">that </w:t>
      </w:r>
      <w:r w:rsidR="008C5741">
        <w:t xml:space="preserve">the Greek authorities </w:t>
      </w:r>
      <w:r w:rsidR="009F494B">
        <w:t xml:space="preserve">had failed </w:t>
      </w:r>
      <w:r w:rsidR="008C5741">
        <w:t>to promptly investigate, prosecute and sanction the crimes committed against him. He alleged a violation of</w:t>
      </w:r>
      <w:r w:rsidR="006A43F6">
        <w:t xml:space="preserve"> Article 13 of the Convention, which stipulates:</w:t>
      </w:r>
    </w:p>
    <w:p w:rsidR="006A43F6" w:rsidRDefault="006A43F6" w:rsidP="006A43F6">
      <w:pPr>
        <w:pStyle w:val="JuQuot"/>
      </w:pPr>
      <w:r>
        <w:t>“Everyone whose rights and freedoms as set forth in [the] Convention are violated shall have an effective remedy before a national authority notwithstanding that the violation has been committed by persons acting in an official capacity.”</w:t>
      </w:r>
    </w:p>
    <w:p w:rsidR="006A43F6" w:rsidRDefault="00F123D7" w:rsidP="006A43F6">
      <w:pPr>
        <w:pStyle w:val="JuPara"/>
      </w:pPr>
      <w:r>
        <w:fldChar w:fldCharType="begin"/>
      </w:r>
      <w:r>
        <w:instrText xml:space="preserve"> SEQ level0 \*arabic </w:instrText>
      </w:r>
      <w:r>
        <w:fldChar w:fldCharType="separate"/>
      </w:r>
      <w:r w:rsidR="005F3BDE">
        <w:rPr>
          <w:noProof/>
        </w:rPr>
        <w:t>55</w:t>
      </w:r>
      <w:r>
        <w:fldChar w:fldCharType="end"/>
      </w:r>
      <w:r>
        <w:t>.  </w:t>
      </w:r>
      <w:r w:rsidR="0051336F">
        <w:t>The Court finds that this part of the application is linked to the above complaint under Article 3 of the Convention. It should therefore also be declared admissible. However, i</w:t>
      </w:r>
      <w:r w:rsidR="006A43F6">
        <w:t xml:space="preserve">n view of </w:t>
      </w:r>
      <w:r w:rsidR="00C45B70">
        <w:t>its conclusion concerning</w:t>
      </w:r>
      <w:r w:rsidR="005B1D48">
        <w:t xml:space="preserve"> Article 3</w:t>
      </w:r>
      <w:r w:rsidR="00C45B70">
        <w:t xml:space="preserve"> of the Convention</w:t>
      </w:r>
      <w:r w:rsidR="006A43F6">
        <w:t xml:space="preserve">, the Court considers that </w:t>
      </w:r>
      <w:r w:rsidR="006A43F6" w:rsidRPr="00826C86">
        <w:t>there is no need to examine the complaint under Article 13 of the Convention</w:t>
      </w:r>
      <w:r w:rsidR="009F494B">
        <w:t xml:space="preserve"> separately</w:t>
      </w:r>
      <w:r w:rsidR="006A43F6" w:rsidRPr="00826C86">
        <w:t>.</w:t>
      </w:r>
    </w:p>
    <w:p w:rsidR="0020716D" w:rsidRPr="00627CB0" w:rsidRDefault="006A43F6" w:rsidP="0020716D">
      <w:pPr>
        <w:pStyle w:val="JuHIRoman"/>
      </w:pPr>
      <w:r>
        <w:t>I</w:t>
      </w:r>
      <w:r w:rsidR="0020716D">
        <w:t>II</w:t>
      </w:r>
      <w:r w:rsidR="0020716D" w:rsidRPr="00627CB0">
        <w:t xml:space="preserve">.  ALLEGED VIOLATION OF ARTICLE </w:t>
      </w:r>
      <w:r w:rsidR="00D4669D">
        <w:t xml:space="preserve">14 </w:t>
      </w:r>
      <w:r w:rsidR="0020716D" w:rsidRPr="00627CB0">
        <w:t>OF THE CONVENTION</w:t>
      </w:r>
      <w:r w:rsidR="00D4669D">
        <w:t xml:space="preserve"> IN CONJUNCTION WITH ARTICLE 3 OF THE CONVENTION</w:t>
      </w:r>
    </w:p>
    <w:p w:rsidR="004553E9" w:rsidRDefault="00F123D7" w:rsidP="004553E9">
      <w:pPr>
        <w:pStyle w:val="JuPara"/>
      </w:pPr>
      <w:r>
        <w:fldChar w:fldCharType="begin"/>
      </w:r>
      <w:r>
        <w:instrText xml:space="preserve"> SEQ level0 \*arabic </w:instrText>
      </w:r>
      <w:r>
        <w:fldChar w:fldCharType="separate"/>
      </w:r>
      <w:r w:rsidR="005F3BDE">
        <w:rPr>
          <w:noProof/>
        </w:rPr>
        <w:t>56</w:t>
      </w:r>
      <w:r>
        <w:fldChar w:fldCharType="end"/>
      </w:r>
      <w:r>
        <w:t>.  </w:t>
      </w:r>
      <w:r w:rsidR="004553E9">
        <w:t>The applicant complained</w:t>
      </w:r>
      <w:r w:rsidR="00D4669D">
        <w:t xml:space="preserve">, in connection with his complaint </w:t>
      </w:r>
      <w:r w:rsidR="009F494B">
        <w:t>of</w:t>
      </w:r>
      <w:r w:rsidR="00D4669D">
        <w:t xml:space="preserve"> ill-treatment and lack of an effective investigation and prosecution of police officers,</w:t>
      </w:r>
      <w:r w:rsidR="004553E9">
        <w:t xml:space="preserve"> that he </w:t>
      </w:r>
      <w:r w:rsidR="009F494B">
        <w:t xml:space="preserve">had </w:t>
      </w:r>
      <w:r w:rsidR="004553E9">
        <w:t>suffered discrimination on the ground of his</w:t>
      </w:r>
      <w:r w:rsidR="00D4669D">
        <w:t xml:space="preserve"> Roma</w:t>
      </w:r>
      <w:r w:rsidR="004553E9">
        <w:t xml:space="preserve"> ethnic origin, contrary to Article 14 of the Convention read in conjunction with Article 3. Article 14 provides as follows:</w:t>
      </w:r>
    </w:p>
    <w:p w:rsidR="004553E9" w:rsidRPr="00DE619F" w:rsidRDefault="004553E9" w:rsidP="004553E9">
      <w:pPr>
        <w:pStyle w:val="JuQuot"/>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20716D" w:rsidRDefault="00F123D7">
      <w:pPr>
        <w:pStyle w:val="JuPara"/>
      </w:pPr>
      <w:r>
        <w:fldChar w:fldCharType="begin"/>
      </w:r>
      <w:r>
        <w:instrText xml:space="preserve"> SEQ level0 \*arabic </w:instrText>
      </w:r>
      <w:r>
        <w:fldChar w:fldCharType="separate"/>
      </w:r>
      <w:r w:rsidR="005F3BDE">
        <w:rPr>
          <w:noProof/>
        </w:rPr>
        <w:t>57</w:t>
      </w:r>
      <w:r>
        <w:fldChar w:fldCharType="end"/>
      </w:r>
      <w:r>
        <w:t>.  </w:t>
      </w:r>
      <w:r w:rsidR="00296D8C">
        <w:t xml:space="preserve">The Government submitted that the applicant </w:t>
      </w:r>
      <w:r w:rsidR="009F494B">
        <w:t xml:space="preserve">had </w:t>
      </w:r>
      <w:r w:rsidR="00296D8C">
        <w:t>not suffer</w:t>
      </w:r>
      <w:r w:rsidR="009F494B">
        <w:t>ed</w:t>
      </w:r>
      <w:r w:rsidR="00296D8C">
        <w:t xml:space="preserve"> discrimination on that ground.</w:t>
      </w:r>
    </w:p>
    <w:p w:rsidR="0054256A" w:rsidRDefault="007A2C3C" w:rsidP="0054256A">
      <w:pPr>
        <w:pStyle w:val="JuPara"/>
      </w:pPr>
      <w:r>
        <w:fldChar w:fldCharType="begin"/>
      </w:r>
      <w:r>
        <w:instrText xml:space="preserve"> SEQ level0 \*arabic </w:instrText>
      </w:r>
      <w:r>
        <w:fldChar w:fldCharType="separate"/>
      </w:r>
      <w:r w:rsidR="005F3BDE">
        <w:rPr>
          <w:noProof/>
        </w:rPr>
        <w:t>58</w:t>
      </w:r>
      <w:r>
        <w:fldChar w:fldCharType="end"/>
      </w:r>
      <w:r>
        <w:t>.  </w:t>
      </w:r>
      <w:r w:rsidR="005B69C3">
        <w:t xml:space="preserve">The </w:t>
      </w:r>
      <w:r w:rsidR="0054256A">
        <w:t xml:space="preserve">Court </w:t>
      </w:r>
      <w:r w:rsidR="009F494B">
        <w:t>reiterates</w:t>
      </w:r>
      <w:r w:rsidR="0054256A">
        <w:t xml:space="preserve"> that w</w:t>
      </w:r>
      <w:r w:rsidR="0054256A" w:rsidRPr="005D023B">
        <w:t>hen investigating violent in</w:t>
      </w:r>
      <w:r w:rsidR="0054256A">
        <w:t>cidents,</w:t>
      </w:r>
      <w:r w:rsidR="0054256A" w:rsidRPr="005D023B">
        <w:t xml:space="preserve"> State authorities have the duty to take all reasonable steps to unmask any racist motive and to establish whether or not ethnic hatred or prejudice </w:t>
      </w:r>
      <w:r w:rsidR="009F494B">
        <w:t xml:space="preserve">might </w:t>
      </w:r>
      <w:r w:rsidR="0054256A" w:rsidRPr="005D023B">
        <w:t>have played a role in the events. Admittedly, proving racial motivation will often be extremely difficult in practice. The respondent State</w:t>
      </w:r>
      <w:r w:rsidR="00E81900">
        <w:t>'</w:t>
      </w:r>
      <w:r w:rsidR="0054256A" w:rsidRPr="005D023B">
        <w:t xml:space="preserve">s obligation to investigate possible racist overtones to a violent act is an obligation to use best endeavours and </w:t>
      </w:r>
      <w:r w:rsidR="009F494B">
        <w:t xml:space="preserve">is </w:t>
      </w:r>
      <w:r w:rsidR="0054256A" w:rsidRPr="005D023B">
        <w:t xml:space="preserve">not absolute. The authorities must do what is reasonable in the circumstances to collect and secure the evidence, explore all practical means of discovering the truth and deliver fully reasoned, impartial and objective decisions, without omitting suspicious </w:t>
      </w:r>
      <w:r w:rsidR="009F494B">
        <w:t>matters</w:t>
      </w:r>
      <w:r w:rsidR="0054256A" w:rsidRPr="005D023B">
        <w:t xml:space="preserve"> that may be indicative of racially induced violence</w:t>
      </w:r>
      <w:r w:rsidR="00A82A52">
        <w:t xml:space="preserve"> (</w:t>
      </w:r>
      <w:r w:rsidR="009F494B">
        <w:t xml:space="preserve">see </w:t>
      </w:r>
      <w:r w:rsidR="00A82A52" w:rsidRPr="00A82A52">
        <w:rPr>
          <w:i/>
        </w:rPr>
        <w:t>Turan Cakir v. Belgium</w:t>
      </w:r>
      <w:r w:rsidR="00A82A52">
        <w:t>, n</w:t>
      </w:r>
      <w:r w:rsidR="00C74995" w:rsidRPr="00C74995">
        <w:rPr>
          <w:vertAlign w:val="superscript"/>
        </w:rPr>
        <w:t>o</w:t>
      </w:r>
      <w:r w:rsidR="00A82A52">
        <w:t xml:space="preserve"> 44256/06, </w:t>
      </w:r>
      <w:r w:rsidR="00126845">
        <w:t xml:space="preserve">§ 77, </w:t>
      </w:r>
      <w:r w:rsidR="0096592C">
        <w:t xml:space="preserve">10 March </w:t>
      </w:r>
      <w:r w:rsidR="00A82A52">
        <w:t>2009)</w:t>
      </w:r>
    </w:p>
    <w:p w:rsidR="00C74995" w:rsidRDefault="00BB74C7" w:rsidP="00D90C8F">
      <w:pPr>
        <w:pStyle w:val="JuPara"/>
      </w:pPr>
      <w:r>
        <w:fldChar w:fldCharType="begin"/>
      </w:r>
      <w:r>
        <w:instrText xml:space="preserve"> SEQ level0 \*arabic </w:instrText>
      </w:r>
      <w:r>
        <w:fldChar w:fldCharType="separate"/>
      </w:r>
      <w:r w:rsidR="005F3BDE">
        <w:rPr>
          <w:noProof/>
        </w:rPr>
        <w:t>59</w:t>
      </w:r>
      <w:r>
        <w:fldChar w:fldCharType="end"/>
      </w:r>
      <w:r>
        <w:t>.  The Court notes that</w:t>
      </w:r>
      <w:r w:rsidR="00D90C8F">
        <w:t xml:space="preserve"> </w:t>
      </w:r>
      <w:r w:rsidR="007A2C3C">
        <w:t xml:space="preserve">it was </w:t>
      </w:r>
      <w:r w:rsidR="00A336C6">
        <w:t xml:space="preserve">in his complaint of </w:t>
      </w:r>
      <w:r w:rsidR="00D90C8F">
        <w:t>4 September 2003</w:t>
      </w:r>
      <w:r w:rsidR="00883F7A">
        <w:t xml:space="preserve"> that</w:t>
      </w:r>
      <w:r w:rsidR="00D90C8F">
        <w:t xml:space="preserve"> the applicant </w:t>
      </w:r>
      <w:r w:rsidR="007A2C3C">
        <w:t>claimed</w:t>
      </w:r>
      <w:r w:rsidR="007A7F11">
        <w:t xml:space="preserve"> for the first time</w:t>
      </w:r>
      <w:r w:rsidR="00620E9C">
        <w:t xml:space="preserve"> that he h</w:t>
      </w:r>
      <w:r w:rsidR="007A2C3C">
        <w:t xml:space="preserve">ad been a victim of </w:t>
      </w:r>
      <w:r w:rsidR="00F807F0">
        <w:t xml:space="preserve">racial </w:t>
      </w:r>
      <w:r w:rsidR="009F494B">
        <w:t>discrimination</w:t>
      </w:r>
      <w:r w:rsidR="00F807F0">
        <w:t xml:space="preserve"> by the commander of the police station and notably s</w:t>
      </w:r>
      <w:r w:rsidR="00D90C8F">
        <w:t>ubmitted that the commander</w:t>
      </w:r>
      <w:r w:rsidR="00A336C6">
        <w:t xml:space="preserve"> </w:t>
      </w:r>
      <w:r w:rsidR="00D90C8F">
        <w:t xml:space="preserve">had used racial profiling when he admitted having used the applicant as </w:t>
      </w:r>
      <w:r w:rsidR="009F494B">
        <w:t xml:space="preserve">a </w:t>
      </w:r>
      <w:r w:rsidR="00D90C8F">
        <w:t xml:space="preserve">“visual suspect” only </w:t>
      </w:r>
      <w:r w:rsidR="00432125">
        <w:t>because</w:t>
      </w:r>
      <w:r w:rsidR="00D90C8F">
        <w:t xml:space="preserve"> he was “of the same age and appeara</w:t>
      </w:r>
      <w:r w:rsidR="00A336C6">
        <w:t xml:space="preserve">nce </w:t>
      </w:r>
      <w:r w:rsidR="009F494B">
        <w:t>as</w:t>
      </w:r>
      <w:r w:rsidR="00A336C6">
        <w:t xml:space="preserve"> the other Roma youth</w:t>
      </w:r>
      <w:r w:rsidR="009F494B">
        <w:t>s</w:t>
      </w:r>
      <w:r w:rsidR="00A336C6">
        <w:t>”</w:t>
      </w:r>
      <w:r w:rsidR="007A7F11">
        <w:t>.</w:t>
      </w:r>
      <w:r w:rsidR="00A336C6">
        <w:t xml:space="preserve"> </w:t>
      </w:r>
      <w:r>
        <w:t>Then, on 1</w:t>
      </w:r>
      <w:r w:rsidR="00FE20C2">
        <w:t>8</w:t>
      </w:r>
      <w:r>
        <w:t xml:space="preserve"> July 2005, the applicant </w:t>
      </w:r>
      <w:r w:rsidR="009F494B">
        <w:t>lodged</w:t>
      </w:r>
      <w:r>
        <w:t xml:space="preserve"> a second complaint</w:t>
      </w:r>
      <w:r w:rsidR="009F494B">
        <w:t>,</w:t>
      </w:r>
      <w:r>
        <w:t xml:space="preserve"> which was a</w:t>
      </w:r>
      <w:r w:rsidR="00432125">
        <w:t xml:space="preserve"> more detailed</w:t>
      </w:r>
      <w:r>
        <w:t xml:space="preserve"> version of the complaint of 4 September 2003. </w:t>
      </w:r>
      <w:r w:rsidR="007A2C3C">
        <w:t>O</w:t>
      </w:r>
      <w:r w:rsidR="00D90C8F">
        <w:t>n</w:t>
      </w:r>
      <w:r w:rsidR="007A2C3C">
        <w:t xml:space="preserve"> 11</w:t>
      </w:r>
      <w:r w:rsidR="00991B81">
        <w:t xml:space="preserve"> August 2004 and 27 </w:t>
      </w:r>
      <w:r>
        <w:t>June 2006,</w:t>
      </w:r>
      <w:r w:rsidR="00D90C8F">
        <w:t xml:space="preserve"> the </w:t>
      </w:r>
      <w:smartTag w:uri="urn:schemas-microsoft-com:office:smarttags" w:element="place">
        <w:r w:rsidR="00D90C8F">
          <w:t>Cephalonia</w:t>
        </w:r>
      </w:smartTag>
      <w:r w:rsidR="00D90C8F">
        <w:t xml:space="preserve"> </w:t>
      </w:r>
      <w:r w:rsidR="00A566ED">
        <w:t>p</w:t>
      </w:r>
      <w:r w:rsidR="00D90C8F">
        <w:t>rosecutor</w:t>
      </w:r>
      <w:r w:rsidR="00E81900">
        <w:t>'</w:t>
      </w:r>
      <w:r w:rsidR="00D90C8F">
        <w:t xml:space="preserve">s </w:t>
      </w:r>
      <w:r w:rsidR="00A566ED">
        <w:t>o</w:t>
      </w:r>
      <w:r w:rsidR="00D90C8F">
        <w:t xml:space="preserve">ffice </w:t>
      </w:r>
      <w:r>
        <w:t xml:space="preserve">and the Indictment </w:t>
      </w:r>
      <w:r w:rsidR="00A566ED">
        <w:t>Division</w:t>
      </w:r>
      <w:r>
        <w:t xml:space="preserve"> of Cephalonia </w:t>
      </w:r>
      <w:r w:rsidR="00D90C8F">
        <w:t>decided not to press any charges against the police officers concerned.</w:t>
      </w:r>
    </w:p>
    <w:p w:rsidR="00F807F0" w:rsidRDefault="00572A8F" w:rsidP="00D90C8F">
      <w:pPr>
        <w:pStyle w:val="JuPara"/>
      </w:pPr>
      <w:r>
        <w:fldChar w:fldCharType="begin"/>
      </w:r>
      <w:r>
        <w:instrText xml:space="preserve"> SEQ level0 \*arabic </w:instrText>
      </w:r>
      <w:r>
        <w:fldChar w:fldCharType="separate"/>
      </w:r>
      <w:r w:rsidR="005F3BDE">
        <w:rPr>
          <w:noProof/>
        </w:rPr>
        <w:t>60</w:t>
      </w:r>
      <w:r>
        <w:fldChar w:fldCharType="end"/>
      </w:r>
      <w:r>
        <w:t>.  </w:t>
      </w:r>
      <w:r w:rsidR="007A7F11">
        <w:t xml:space="preserve">The </w:t>
      </w:r>
      <w:r w:rsidR="00BB74C7">
        <w:t>Court notes</w:t>
      </w:r>
      <w:r w:rsidR="001124E3">
        <w:t xml:space="preserve"> that the six-month period for </w:t>
      </w:r>
      <w:r w:rsidR="00DA3F27">
        <w:t>lodging</w:t>
      </w:r>
      <w:r w:rsidR="001124E3">
        <w:t xml:space="preserve"> an application with the Court had begun to run on</w:t>
      </w:r>
      <w:r w:rsidR="00B4571B">
        <w:t xml:space="preserve"> 11</w:t>
      </w:r>
      <w:r w:rsidR="00883F7A">
        <w:t xml:space="preserve"> </w:t>
      </w:r>
      <w:r w:rsidR="00B4571B">
        <w:t>August 2004 and</w:t>
      </w:r>
      <w:r w:rsidR="00BB74C7">
        <w:t xml:space="preserve"> 27</w:t>
      </w:r>
      <w:r w:rsidR="001124E3">
        <w:t xml:space="preserve"> June 2006</w:t>
      </w:r>
      <w:r w:rsidR="00DA3F27">
        <w:t>,</w:t>
      </w:r>
      <w:r w:rsidR="00B4571B">
        <w:t xml:space="preserve"> the dates of the above-mentioned decisions taken in respect of the applicant</w:t>
      </w:r>
      <w:r w:rsidR="00E81900">
        <w:t>'</w:t>
      </w:r>
      <w:r w:rsidR="00B4571B">
        <w:t xml:space="preserve">s complaints. The applicant lodged his application </w:t>
      </w:r>
      <w:r w:rsidR="00490C75">
        <w:t>with the Court on 4</w:t>
      </w:r>
      <w:r w:rsidR="0074183E">
        <w:t> </w:t>
      </w:r>
      <w:r w:rsidR="00490C75">
        <w:t>January 2007</w:t>
      </w:r>
      <w:r w:rsidR="00B4571B">
        <w:t xml:space="preserve">, </w:t>
      </w:r>
      <w:r w:rsidR="00DA3F27">
        <w:t>which</w:t>
      </w:r>
      <w:r w:rsidR="00B4571B">
        <w:t xml:space="preserve"> is out of time as regards the complaint under Articles 3 and 14 taken together.</w:t>
      </w:r>
    </w:p>
    <w:p w:rsidR="005B69C3" w:rsidRDefault="005B69C3" w:rsidP="005B69C3">
      <w:pPr>
        <w:pStyle w:val="JuPara"/>
      </w:pPr>
      <w:r>
        <w:fldChar w:fldCharType="begin"/>
      </w:r>
      <w:r>
        <w:instrText xml:space="preserve"> SEQ level0 \*arabic </w:instrText>
      </w:r>
      <w:r>
        <w:fldChar w:fldCharType="separate"/>
      </w:r>
      <w:r w:rsidR="005F3BDE">
        <w:rPr>
          <w:noProof/>
        </w:rPr>
        <w:t>61</w:t>
      </w:r>
      <w:r>
        <w:fldChar w:fldCharType="end"/>
      </w:r>
      <w:r>
        <w:t>.  </w:t>
      </w:r>
      <w:r w:rsidR="00572A8F">
        <w:t xml:space="preserve">It </w:t>
      </w:r>
      <w:r w:rsidR="00572A8F" w:rsidRPr="00DF4CED">
        <w:t xml:space="preserve">follows that </w:t>
      </w:r>
      <w:r w:rsidR="00572A8F">
        <w:t xml:space="preserve">this part of </w:t>
      </w:r>
      <w:r w:rsidR="00572A8F" w:rsidRPr="00DF4CED">
        <w:t>the application must be rejected in accordance with Article 3</w:t>
      </w:r>
      <w:r w:rsidR="00572A8F">
        <w:t>5 §</w:t>
      </w:r>
      <w:r w:rsidR="00A602DB">
        <w:t>§ 1</w:t>
      </w:r>
      <w:r w:rsidR="00572A8F">
        <w:t xml:space="preserve"> and 4 of the Convention.</w:t>
      </w:r>
    </w:p>
    <w:p w:rsidR="0020716D" w:rsidRPr="00627CB0" w:rsidRDefault="006A43F6" w:rsidP="0020716D">
      <w:pPr>
        <w:pStyle w:val="JuHIRoman"/>
      </w:pPr>
      <w:r>
        <w:t>IV</w:t>
      </w:r>
      <w:r w:rsidR="0020716D" w:rsidRPr="00627CB0">
        <w:t>.  ALLEGED VIOLATION</w:t>
      </w:r>
      <w:r w:rsidR="0020716D">
        <w:t xml:space="preserve"> </w:t>
      </w:r>
      <w:r w:rsidR="0020716D" w:rsidRPr="00627CB0">
        <w:t xml:space="preserve">OF ARTICLE </w:t>
      </w:r>
      <w:r w:rsidR="0020716D">
        <w:t>6 § 1</w:t>
      </w:r>
      <w:r w:rsidR="0020716D" w:rsidRPr="00627CB0">
        <w:t xml:space="preserve"> OF THE CONVENTION</w:t>
      </w:r>
    </w:p>
    <w:p w:rsidR="00B72453" w:rsidRDefault="00F123D7" w:rsidP="00B72453">
      <w:pPr>
        <w:pStyle w:val="JuPara"/>
      </w:pPr>
      <w:r>
        <w:fldChar w:fldCharType="begin"/>
      </w:r>
      <w:r>
        <w:instrText xml:space="preserve"> SEQ level0 \*arabic </w:instrText>
      </w:r>
      <w:r>
        <w:fldChar w:fldCharType="separate"/>
      </w:r>
      <w:r w:rsidR="005F3BDE">
        <w:rPr>
          <w:noProof/>
        </w:rPr>
        <w:t>62</w:t>
      </w:r>
      <w:r>
        <w:fldChar w:fldCharType="end"/>
      </w:r>
      <w:r>
        <w:t>.  </w:t>
      </w:r>
      <w:r w:rsidR="00B72453">
        <w:t>The applicant complained</w:t>
      </w:r>
      <w:r w:rsidR="00B72453" w:rsidRPr="00DE619F">
        <w:t xml:space="preserve"> </w:t>
      </w:r>
      <w:r w:rsidR="00DA3F27">
        <w:t xml:space="preserve">that </w:t>
      </w:r>
      <w:r w:rsidR="00B72453">
        <w:t xml:space="preserve">the </w:t>
      </w:r>
      <w:r w:rsidR="00DA3F27">
        <w:t xml:space="preserve">length of the </w:t>
      </w:r>
      <w:r w:rsidR="00EA5FA6">
        <w:t xml:space="preserve">criminal </w:t>
      </w:r>
      <w:r w:rsidR="00B72453">
        <w:t>proceedings</w:t>
      </w:r>
      <w:r w:rsidR="00EA5FA6">
        <w:t xml:space="preserve"> concerning ill-treatment</w:t>
      </w:r>
      <w:r w:rsidR="00490C75">
        <w:t>, following his complaint of 8 October 2001</w:t>
      </w:r>
      <w:r w:rsidR="00DA3F27">
        <w:t>, was excessive</w:t>
      </w:r>
      <w:r w:rsidR="00B72453">
        <w:t>: the first</w:t>
      </w:r>
      <w:r w:rsidR="00DA3F27">
        <w:t>-</w:t>
      </w:r>
      <w:r w:rsidR="00B72453">
        <w:t xml:space="preserve">instance proceedings </w:t>
      </w:r>
      <w:r w:rsidR="00DA3F27">
        <w:t xml:space="preserve">in particular exceeded a </w:t>
      </w:r>
      <w:r w:rsidR="00B72453">
        <w:t xml:space="preserve">reasonable </w:t>
      </w:r>
      <w:r w:rsidR="005852DC">
        <w:t>length</w:t>
      </w:r>
      <w:r w:rsidR="00442C95">
        <w:t>. He alleged</w:t>
      </w:r>
      <w:r w:rsidR="00B72453">
        <w:t xml:space="preserve"> a violation of Article 6 § 1 of the Convention, which provides:</w:t>
      </w:r>
    </w:p>
    <w:p w:rsidR="00B72453" w:rsidRDefault="00B72453" w:rsidP="00B72453">
      <w:pPr>
        <w:pStyle w:val="JuQuot"/>
      </w:pPr>
      <w:r>
        <w:t>“In the determination of ... any criminal charge against him, everyone is entitled to a ... hearing within a reasonable time by [a] ... tribunal ...”</w:t>
      </w:r>
    </w:p>
    <w:p w:rsidR="00315F8D" w:rsidRPr="005F1A2A" w:rsidRDefault="00F123D7" w:rsidP="00315F8D">
      <w:pPr>
        <w:pStyle w:val="JuPara"/>
      </w:pPr>
      <w:r>
        <w:fldChar w:fldCharType="begin"/>
      </w:r>
      <w:r>
        <w:instrText xml:space="preserve"> SEQ level0 \*arabic </w:instrText>
      </w:r>
      <w:r>
        <w:fldChar w:fldCharType="separate"/>
      </w:r>
      <w:r w:rsidR="005F3BDE">
        <w:rPr>
          <w:noProof/>
        </w:rPr>
        <w:t>63</w:t>
      </w:r>
      <w:r>
        <w:fldChar w:fldCharType="end"/>
      </w:r>
      <w:r>
        <w:t>.  </w:t>
      </w:r>
      <w:r w:rsidR="00315F8D">
        <w:t>The period to be considered began on</w:t>
      </w:r>
      <w:r w:rsidR="00442C95">
        <w:t xml:space="preserve"> 8 October 2001</w:t>
      </w:r>
      <w:r w:rsidR="00315F8D" w:rsidRPr="005F1A2A">
        <w:t xml:space="preserve">, </w:t>
      </w:r>
      <w:r w:rsidR="00315F8D">
        <w:t xml:space="preserve">when the </w:t>
      </w:r>
      <w:r w:rsidR="00442C95">
        <w:t xml:space="preserve">applicant </w:t>
      </w:r>
      <w:r w:rsidR="00432125">
        <w:t xml:space="preserve">sought to join the proceedings as a civil party claiming damages for </w:t>
      </w:r>
      <w:r w:rsidR="00442C95">
        <w:t xml:space="preserve">ill-treatment, </w:t>
      </w:r>
      <w:r w:rsidR="00315F8D">
        <w:t xml:space="preserve">and ended on </w:t>
      </w:r>
      <w:r w:rsidR="00442C95">
        <w:t>15</w:t>
      </w:r>
      <w:r w:rsidR="00315F8D" w:rsidRPr="005F1A2A">
        <w:t xml:space="preserve"> </w:t>
      </w:r>
      <w:r w:rsidR="00442C95">
        <w:t xml:space="preserve">April </w:t>
      </w:r>
      <w:r w:rsidR="00315F8D" w:rsidRPr="005F1A2A">
        <w:t>200</w:t>
      </w:r>
      <w:r w:rsidR="00442C95">
        <w:t>8</w:t>
      </w:r>
      <w:r w:rsidR="00315F8D" w:rsidRPr="005F1A2A">
        <w:t xml:space="preserve">, </w:t>
      </w:r>
      <w:r w:rsidR="00442C95">
        <w:t xml:space="preserve">when </w:t>
      </w:r>
      <w:r w:rsidR="00DA3F27">
        <w:t xml:space="preserve">the </w:t>
      </w:r>
      <w:r w:rsidR="00442C95">
        <w:t xml:space="preserve">judgment of the </w:t>
      </w:r>
      <w:r w:rsidR="00DA3F27">
        <w:t xml:space="preserve">Patras </w:t>
      </w:r>
      <w:r w:rsidR="00442C95">
        <w:t>Court of Appeal was</w:t>
      </w:r>
      <w:r w:rsidR="00315F8D">
        <w:t xml:space="preserve"> delivered</w:t>
      </w:r>
      <w:r w:rsidR="00315F8D" w:rsidRPr="005F1A2A">
        <w:t xml:space="preserve">. </w:t>
      </w:r>
      <w:r w:rsidR="00442C95">
        <w:t>It therefore lasted six years, six</w:t>
      </w:r>
      <w:r w:rsidR="00315F8D">
        <w:t xml:space="preserve"> m</w:t>
      </w:r>
      <w:r w:rsidR="00442C95">
        <w:t>onths and seven days at two</w:t>
      </w:r>
      <w:r w:rsidR="00315F8D">
        <w:t xml:space="preserve"> level</w:t>
      </w:r>
      <w:r w:rsidR="00442C95">
        <w:t>s</w:t>
      </w:r>
      <w:r w:rsidR="00315F8D">
        <w:t xml:space="preserve"> of jurisdiction.</w:t>
      </w:r>
    </w:p>
    <w:p w:rsidR="0020716D" w:rsidRDefault="00B72453" w:rsidP="00B72453">
      <w:pPr>
        <w:pStyle w:val="JuHA"/>
      </w:pPr>
      <w:r>
        <w:t>A.  Admissibility</w:t>
      </w:r>
    </w:p>
    <w:p w:rsidR="00B72453" w:rsidRDefault="00F123D7" w:rsidP="00B72453">
      <w:pPr>
        <w:pStyle w:val="JuPara"/>
      </w:pPr>
      <w:r>
        <w:fldChar w:fldCharType="begin"/>
      </w:r>
      <w:r>
        <w:instrText xml:space="preserve"> SEQ level0 \*arabic </w:instrText>
      </w:r>
      <w:r>
        <w:fldChar w:fldCharType="separate"/>
      </w:r>
      <w:r w:rsidR="005F3BDE">
        <w:rPr>
          <w:noProof/>
        </w:rPr>
        <w:t>64</w:t>
      </w:r>
      <w:r>
        <w:fldChar w:fldCharType="end"/>
      </w:r>
      <w:r>
        <w:t>.  </w:t>
      </w:r>
      <w:r w:rsidR="00B72453">
        <w:t>T</w:t>
      </w:r>
      <w:r w:rsidR="00B72453" w:rsidRPr="00795078">
        <w:t xml:space="preserve">he Court notes that the </w:t>
      </w:r>
      <w:r w:rsidR="00B72453">
        <w:t xml:space="preserve">complaint </w:t>
      </w:r>
      <w:r w:rsidR="00B72453" w:rsidRPr="00795078">
        <w:t>is not manifestly ill-founded within the meaning of Article 35 § 3 of the Convention</w:t>
      </w:r>
      <w:r w:rsidR="00B72453">
        <w:t xml:space="preserve"> or</w:t>
      </w:r>
      <w:r w:rsidR="00B72453" w:rsidRPr="00795078">
        <w:t xml:space="preserve"> ina</w:t>
      </w:r>
      <w:r w:rsidR="00B72453">
        <w:t>dmissible on any other grounds.</w:t>
      </w:r>
    </w:p>
    <w:p w:rsidR="0020716D" w:rsidRDefault="00B72453" w:rsidP="00B72453">
      <w:pPr>
        <w:pStyle w:val="JuHA"/>
      </w:pPr>
      <w:r>
        <w:t>B.  Merits</w:t>
      </w:r>
    </w:p>
    <w:p w:rsidR="00C74995" w:rsidRDefault="00F123D7">
      <w:pPr>
        <w:pStyle w:val="JuPara"/>
      </w:pPr>
      <w:r>
        <w:fldChar w:fldCharType="begin"/>
      </w:r>
      <w:r>
        <w:instrText xml:space="preserve"> SEQ level0 \*arabic </w:instrText>
      </w:r>
      <w:r>
        <w:fldChar w:fldCharType="separate"/>
      </w:r>
      <w:r w:rsidR="005F3BDE">
        <w:rPr>
          <w:noProof/>
        </w:rPr>
        <w:t>65</w:t>
      </w:r>
      <w:r>
        <w:fldChar w:fldCharType="end"/>
      </w:r>
      <w:r>
        <w:t>.  </w:t>
      </w:r>
      <w:r w:rsidR="00B72453">
        <w:t xml:space="preserve">The Government maintained that </w:t>
      </w:r>
      <w:r w:rsidR="0035536C">
        <w:t xml:space="preserve">the length of the impugned proceedings had not been </w:t>
      </w:r>
      <w:r w:rsidR="0035536C" w:rsidRPr="00D23B03">
        <w:t>excessive</w:t>
      </w:r>
      <w:r w:rsidR="0035536C">
        <w:t xml:space="preserve">, given the large volume of evidence, in particular the large number of witness </w:t>
      </w:r>
      <w:r w:rsidR="00DA3F27">
        <w:t>statements</w:t>
      </w:r>
      <w:r w:rsidR="0035536C">
        <w:t>, as well as the number of complaints, prosecutor</w:t>
      </w:r>
      <w:r w:rsidR="00DA3F27">
        <w:t xml:space="preserve"> requests, and </w:t>
      </w:r>
      <w:r w:rsidR="0035536C">
        <w:t>appeals against writs of summons</w:t>
      </w:r>
      <w:r w:rsidR="00315F8D">
        <w:t xml:space="preserve"> and judgments.</w:t>
      </w:r>
    </w:p>
    <w:p w:rsidR="00315F8D" w:rsidRPr="00D23B03" w:rsidRDefault="00F123D7" w:rsidP="00315F8D">
      <w:pPr>
        <w:pStyle w:val="JuPara"/>
      </w:pPr>
      <w:r>
        <w:fldChar w:fldCharType="begin"/>
      </w:r>
      <w:r>
        <w:instrText xml:space="preserve"> SEQ level0 \*arabic </w:instrText>
      </w:r>
      <w:r>
        <w:fldChar w:fldCharType="separate"/>
      </w:r>
      <w:r w:rsidR="005F3BDE">
        <w:rPr>
          <w:noProof/>
        </w:rPr>
        <w:t>66</w:t>
      </w:r>
      <w:r>
        <w:fldChar w:fldCharType="end"/>
      </w:r>
      <w:r>
        <w:t>.  </w:t>
      </w:r>
      <w:r w:rsidR="00315F8D">
        <w:t xml:space="preserve">The Court reiterates </w:t>
      </w:r>
      <w:r w:rsidR="00315F8D" w:rsidRPr="004639E3">
        <w:t>that the “reasonableness” of the length of proceedings must be assessed in the light of the circumstances of the case and with reference to the criteria</w:t>
      </w:r>
      <w:r w:rsidR="00315F8D">
        <w:t xml:space="preserve"> set out in its case-law, especially</w:t>
      </w:r>
      <w:r w:rsidR="00315F8D" w:rsidRPr="004639E3">
        <w:t xml:space="preserve"> the complexity of the case, the conduct of the applicant and of the relevant authorities and what was at stake for the applicant in the dispute (see, among </w:t>
      </w:r>
      <w:r w:rsidR="00315F8D">
        <w:t xml:space="preserve">many </w:t>
      </w:r>
      <w:r w:rsidR="00315F8D" w:rsidRPr="004639E3">
        <w:t>other authorities</w:t>
      </w:r>
      <w:r w:rsidR="00315F8D" w:rsidRPr="00D23B03">
        <w:t xml:space="preserve">, </w:t>
      </w:r>
      <w:r w:rsidR="00315F8D" w:rsidRPr="00D23B03">
        <w:rPr>
          <w:rStyle w:val="ju-005fpara--char"/>
          <w:i/>
          <w:iCs/>
        </w:rPr>
        <w:t xml:space="preserve">Frydlender </w:t>
      </w:r>
      <w:r w:rsidR="00315F8D">
        <w:rPr>
          <w:rStyle w:val="ju-005fpara--char"/>
          <w:i/>
          <w:iCs/>
        </w:rPr>
        <w:t>v</w:t>
      </w:r>
      <w:r w:rsidR="00315F8D" w:rsidRPr="00D23B03">
        <w:rPr>
          <w:rStyle w:val="ju-005fpara--char"/>
          <w:i/>
          <w:iCs/>
        </w:rPr>
        <w:t>. France</w:t>
      </w:r>
      <w:r w:rsidR="00315F8D" w:rsidRPr="00D23B03">
        <w:t xml:space="preserve"> [GC], n</w:t>
      </w:r>
      <w:r w:rsidR="00315F8D">
        <w:t xml:space="preserve">o. </w:t>
      </w:r>
      <w:r w:rsidR="00315F8D" w:rsidRPr="00D23B03">
        <w:t>30979/96, §</w:t>
      </w:r>
      <w:r w:rsidR="00315F8D">
        <w:t> </w:t>
      </w:r>
      <w:r w:rsidR="00315F8D" w:rsidRPr="00D23B03">
        <w:t xml:space="preserve">43, </w:t>
      </w:r>
      <w:r w:rsidR="00315F8D">
        <w:t>E</w:t>
      </w:r>
      <w:r w:rsidR="00315F8D" w:rsidRPr="00D23B03">
        <w:t>CH</w:t>
      </w:r>
      <w:r w:rsidR="00315F8D">
        <w:t>R</w:t>
      </w:r>
      <w:r w:rsidR="00315F8D" w:rsidRPr="00D23B03">
        <w:t xml:space="preserve"> 2000-VII).</w:t>
      </w:r>
    </w:p>
    <w:p w:rsidR="00315F8D" w:rsidRDefault="00F123D7">
      <w:pPr>
        <w:pStyle w:val="JuPara"/>
      </w:pPr>
      <w:r>
        <w:fldChar w:fldCharType="begin"/>
      </w:r>
      <w:r>
        <w:instrText xml:space="preserve"> SEQ level0 \*arabic </w:instrText>
      </w:r>
      <w:r>
        <w:fldChar w:fldCharType="separate"/>
      </w:r>
      <w:r w:rsidR="005F3BDE">
        <w:rPr>
          <w:noProof/>
        </w:rPr>
        <w:t>67</w:t>
      </w:r>
      <w:r>
        <w:fldChar w:fldCharType="end"/>
      </w:r>
      <w:r>
        <w:t>.  </w:t>
      </w:r>
      <w:r w:rsidR="006A43F6">
        <w:t xml:space="preserve">The Court notes that </w:t>
      </w:r>
      <w:r w:rsidR="00755880">
        <w:t xml:space="preserve">the Three-Member Criminal Court of Cephalonia delivered judgment on 12 April 2006, </w:t>
      </w:r>
      <w:r w:rsidR="00DA3F27">
        <w:t xml:space="preserve">which </w:t>
      </w:r>
      <w:r w:rsidR="00755880">
        <w:t xml:space="preserve">is approximately four and a half </w:t>
      </w:r>
      <w:r w:rsidR="00DA3F27">
        <w:t xml:space="preserve">years </w:t>
      </w:r>
      <w:r w:rsidR="00755880">
        <w:t xml:space="preserve">after the applicant </w:t>
      </w:r>
      <w:r w:rsidR="00DA3F27">
        <w:t xml:space="preserve">presented himself as a </w:t>
      </w:r>
      <w:r w:rsidR="00755880">
        <w:t>civil</w:t>
      </w:r>
      <w:r w:rsidR="00655B02">
        <w:t xml:space="preserve"> claimant. </w:t>
      </w:r>
      <w:r w:rsidR="00DA3F27">
        <w:t>At</w:t>
      </w:r>
      <w:r w:rsidR="00655B02">
        <w:t xml:space="preserve"> the </w:t>
      </w:r>
      <w:r w:rsidR="00DA3F27">
        <w:t xml:space="preserve">Patras </w:t>
      </w:r>
      <w:r w:rsidR="00655B02">
        <w:t>Court of A</w:t>
      </w:r>
      <w:r w:rsidR="00755880">
        <w:t xml:space="preserve">ppeal </w:t>
      </w:r>
      <w:r w:rsidR="00655B02">
        <w:t xml:space="preserve">hearing of 23 February 2007 the case was adjourned </w:t>
      </w:r>
      <w:r w:rsidR="00DA3F27">
        <w:t>to</w:t>
      </w:r>
      <w:r w:rsidR="00655B02">
        <w:t xml:space="preserve"> 21 September 2007 and then </w:t>
      </w:r>
      <w:r w:rsidR="00DA3F27">
        <w:t>to</w:t>
      </w:r>
      <w:r w:rsidR="00655B02">
        <w:t xml:space="preserve"> 1 Februa</w:t>
      </w:r>
      <w:r w:rsidR="00EA5FA6">
        <w:t>ry 2008. The Government provided</w:t>
      </w:r>
      <w:r w:rsidR="00655B02">
        <w:t xml:space="preserve"> no specific explanation for these delays and adjournments and the file </w:t>
      </w:r>
      <w:r w:rsidR="00DA3F27">
        <w:t xml:space="preserve">does not indicate </w:t>
      </w:r>
      <w:r w:rsidR="00655B02">
        <w:t>that they were due to the applicant</w:t>
      </w:r>
      <w:r w:rsidR="00E81900">
        <w:t>'</w:t>
      </w:r>
      <w:r w:rsidR="00655B02">
        <w:t>s conduct.</w:t>
      </w:r>
    </w:p>
    <w:p w:rsidR="00DF25DB" w:rsidRPr="00A65F41" w:rsidRDefault="00F123D7" w:rsidP="00DF25DB">
      <w:pPr>
        <w:pStyle w:val="JuPara"/>
      </w:pPr>
      <w:r>
        <w:fldChar w:fldCharType="begin"/>
      </w:r>
      <w:r>
        <w:instrText xml:space="preserve"> SEQ level0 \*arabic </w:instrText>
      </w:r>
      <w:r>
        <w:fldChar w:fldCharType="separate"/>
      </w:r>
      <w:r w:rsidR="005F3BDE">
        <w:rPr>
          <w:noProof/>
        </w:rPr>
        <w:t>68</w:t>
      </w:r>
      <w:r>
        <w:fldChar w:fldCharType="end"/>
      </w:r>
      <w:r>
        <w:t>.  </w:t>
      </w:r>
      <w:r w:rsidR="00DF25DB">
        <w:t>Accordingly, having regard to its case-law in this area, the Court considers that in the instant case the length of the proceedings was excessive and failed to fulfil the “reasonable time” requirement</w:t>
      </w:r>
      <w:r w:rsidR="00DF25DB" w:rsidRPr="00A65F41">
        <w:t>.</w:t>
      </w:r>
    </w:p>
    <w:p w:rsidR="00DF25DB" w:rsidRDefault="00F123D7" w:rsidP="00DF25DB">
      <w:pPr>
        <w:pStyle w:val="JuPara"/>
      </w:pPr>
      <w:r>
        <w:fldChar w:fldCharType="begin"/>
      </w:r>
      <w:r>
        <w:instrText xml:space="preserve"> SEQ level0 \*arabic </w:instrText>
      </w:r>
      <w:r>
        <w:fldChar w:fldCharType="separate"/>
      </w:r>
      <w:r w:rsidR="005F3BDE">
        <w:rPr>
          <w:noProof/>
        </w:rPr>
        <w:t>69</w:t>
      </w:r>
      <w:r>
        <w:fldChar w:fldCharType="end"/>
      </w:r>
      <w:r>
        <w:t>.  </w:t>
      </w:r>
      <w:r w:rsidR="00DF25DB" w:rsidRPr="00A65F41">
        <w:t xml:space="preserve">There has </w:t>
      </w:r>
      <w:r w:rsidR="00DF25DB">
        <w:t xml:space="preserve">therefore </w:t>
      </w:r>
      <w:r w:rsidR="00DF25DB" w:rsidRPr="00A65F41">
        <w:t>been a violation of Article 6 § 1.</w:t>
      </w:r>
    </w:p>
    <w:p w:rsidR="00F123D7" w:rsidRPr="00627CB0" w:rsidRDefault="00F123D7" w:rsidP="00F123D7">
      <w:pPr>
        <w:pStyle w:val="JuHIRoman"/>
      </w:pPr>
      <w:r>
        <w:t>V.  OTHER ALLEGED VIOLATIONS</w:t>
      </w:r>
      <w:r w:rsidR="000D43DB">
        <w:t xml:space="preserve"> OF THE CONVENTION</w:t>
      </w:r>
    </w:p>
    <w:p w:rsidR="002632DE" w:rsidRDefault="002632DE" w:rsidP="002632DE">
      <w:pPr>
        <w:pStyle w:val="JuPara"/>
      </w:pPr>
      <w:r>
        <w:fldChar w:fldCharType="begin"/>
      </w:r>
      <w:r>
        <w:instrText xml:space="preserve"> SEQ level0 \*arabic </w:instrText>
      </w:r>
      <w:r>
        <w:fldChar w:fldCharType="separate"/>
      </w:r>
      <w:r w:rsidR="005F3BDE">
        <w:rPr>
          <w:noProof/>
        </w:rPr>
        <w:t>70</w:t>
      </w:r>
      <w:r>
        <w:fldChar w:fldCharType="end"/>
      </w:r>
      <w:r>
        <w:t>.  The applicant complained</w:t>
      </w:r>
      <w:r w:rsidRPr="00DE619F">
        <w:t xml:space="preserve"> under Article </w:t>
      </w:r>
      <w:r>
        <w:t xml:space="preserve">6 of the Convention that he </w:t>
      </w:r>
      <w:r w:rsidR="00432125">
        <w:t>had been</w:t>
      </w:r>
      <w:r>
        <w:t xml:space="preserve"> denied access to court twice (in November 2005 and June 2006) </w:t>
      </w:r>
      <w:r w:rsidR="00432125">
        <w:t xml:space="preserve">in connection with </w:t>
      </w:r>
      <w:r>
        <w:t xml:space="preserve">several charges related to </w:t>
      </w:r>
      <w:r w:rsidR="00C556D3">
        <w:t>a</w:t>
      </w:r>
      <w:r>
        <w:t xml:space="preserve"> cover-up, racist behaviour towards him and </w:t>
      </w:r>
      <w:r w:rsidR="00432125">
        <w:t>a breach of his personal rights</w:t>
      </w:r>
      <w:r>
        <w:t xml:space="preserve"> because of violation of data </w:t>
      </w:r>
      <w:r w:rsidR="00432125">
        <w:t>protection</w:t>
      </w:r>
      <w:r>
        <w:t>. He also complained that the Patras Court of Appeal</w:t>
      </w:r>
      <w:r w:rsidR="00E81900">
        <w:t>'</w:t>
      </w:r>
      <w:r w:rsidR="00432125">
        <w:t>s</w:t>
      </w:r>
      <w:r>
        <w:t xml:space="preserve"> </w:t>
      </w:r>
      <w:r w:rsidR="00C556D3">
        <w:t xml:space="preserve">judgment </w:t>
      </w:r>
      <w:r>
        <w:t xml:space="preserve">lacked sufficient reasoning. </w:t>
      </w:r>
      <w:r w:rsidR="000D43DB">
        <w:t xml:space="preserve">Under Article 6 § 2 the applicant complained of a claim made by the Patras </w:t>
      </w:r>
      <w:r w:rsidR="00E67017">
        <w:t>p</w:t>
      </w:r>
      <w:r w:rsidR="000D43DB">
        <w:t xml:space="preserve">rosecutor that the applicant had signed a forged document in order </w:t>
      </w:r>
      <w:r w:rsidR="008A4EB4">
        <w:t>to incriminate the police officers. Finally, t</w:t>
      </w:r>
      <w:r w:rsidRPr="00DE619F">
        <w:t xml:space="preserve">he applicant </w:t>
      </w:r>
      <w:r>
        <w:t>complained</w:t>
      </w:r>
      <w:r w:rsidRPr="00DE619F">
        <w:t xml:space="preserve"> under Article </w:t>
      </w:r>
      <w:r>
        <w:t xml:space="preserve">8 of the Convention </w:t>
      </w:r>
      <w:r w:rsidR="00C556D3">
        <w:t>that</w:t>
      </w:r>
      <w:r>
        <w:t xml:space="preserve"> his private and family life</w:t>
      </w:r>
      <w:r w:rsidR="00C556D3">
        <w:t xml:space="preserve"> had been violated</w:t>
      </w:r>
      <w:r>
        <w:t xml:space="preserve"> because one of the defendant police officers </w:t>
      </w:r>
      <w:r w:rsidR="00C556D3">
        <w:t xml:space="preserve">had </w:t>
      </w:r>
      <w:r>
        <w:t>submitted information on past criminal activity of the applicant</w:t>
      </w:r>
      <w:r w:rsidR="00E81900">
        <w:t>'</w:t>
      </w:r>
      <w:r>
        <w:t>s relatives in order to discredit the applicant</w:t>
      </w:r>
      <w:r w:rsidR="00E81900">
        <w:t>'</w:t>
      </w:r>
      <w:r>
        <w:t>s statements.</w:t>
      </w:r>
    </w:p>
    <w:p w:rsidR="00C7205C" w:rsidRPr="003C5DED" w:rsidRDefault="00C7205C" w:rsidP="00C7205C">
      <w:pPr>
        <w:pStyle w:val="JuPara"/>
      </w:pPr>
      <w:r>
        <w:fldChar w:fldCharType="begin"/>
      </w:r>
      <w:r>
        <w:instrText xml:space="preserve"> SEQ level0 \*arabic </w:instrText>
      </w:r>
      <w:r>
        <w:fldChar w:fldCharType="separate"/>
      </w:r>
      <w:r w:rsidR="005F3BDE">
        <w:rPr>
          <w:noProof/>
        </w:rPr>
        <w:t>71</w:t>
      </w:r>
      <w:r>
        <w:fldChar w:fldCharType="end"/>
      </w:r>
      <w:r>
        <w:t>.  </w:t>
      </w:r>
      <w:r w:rsidRPr="003C5DED">
        <w:t>The Court has examined the remainder of the applicant</w:t>
      </w:r>
      <w:r w:rsidR="00E81900">
        <w:t>'</w:t>
      </w:r>
      <w:r w:rsidRPr="003C5DED">
        <w:t>s complaints and considers that, in the light of all the material in its possession and in so far as the matters complained of are within its competence, they do not disclose any appearance of a violation of the rights and freedoms set out in the Convention or its Protocols. It follows that this part of the application should be declared inadmissible pursuant to Article 35 §§ 3 and 4 of the Convention.</w:t>
      </w:r>
    </w:p>
    <w:p w:rsidR="00CD49A7" w:rsidRPr="00627CB0" w:rsidRDefault="00F123D7">
      <w:pPr>
        <w:pStyle w:val="JuHIRoman"/>
      </w:pPr>
      <w:r>
        <w:t>VI</w:t>
      </w:r>
      <w:r w:rsidR="00CD49A7" w:rsidRPr="00627CB0">
        <w:t>.  APPLICATION OF ARTICLE 41 OF THE CONVENTION</w:t>
      </w:r>
    </w:p>
    <w:p w:rsidR="00CD49A7" w:rsidRPr="00627CB0" w:rsidRDefault="00C7205C">
      <w:pPr>
        <w:pStyle w:val="JuPara"/>
        <w:keepNext/>
        <w:keepLines/>
      </w:pPr>
      <w:r>
        <w:fldChar w:fldCharType="begin"/>
      </w:r>
      <w:r>
        <w:instrText xml:space="preserve"> SEQ level0 \*arabic </w:instrText>
      </w:r>
      <w:r>
        <w:fldChar w:fldCharType="separate"/>
      </w:r>
      <w:r w:rsidR="005F3BDE">
        <w:rPr>
          <w:noProof/>
        </w:rPr>
        <w:t>72</w:t>
      </w:r>
      <w:r>
        <w:fldChar w:fldCharType="end"/>
      </w:r>
      <w:r>
        <w:t>.  </w:t>
      </w:r>
      <w:r w:rsidR="00CD49A7" w:rsidRPr="00627CB0">
        <w:t>Article 41 of the Convention provides:</w:t>
      </w:r>
    </w:p>
    <w:p w:rsidR="00CD49A7" w:rsidRPr="00627CB0" w:rsidRDefault="00CD49A7">
      <w:pPr>
        <w:pStyle w:val="JuQuot"/>
        <w:keepNext/>
        <w:keepLines/>
      </w:pPr>
      <w:r w:rsidRPr="00627CB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CD49A7" w:rsidRPr="00627CB0" w:rsidRDefault="00CD49A7">
      <w:pPr>
        <w:pStyle w:val="JuHA"/>
      </w:pPr>
      <w:r w:rsidRPr="00627CB0">
        <w:t>A.  Damage</w:t>
      </w:r>
    </w:p>
    <w:p w:rsidR="00CD49A7" w:rsidRDefault="00C660FE">
      <w:pPr>
        <w:pStyle w:val="JuPara"/>
      </w:pPr>
      <w:r>
        <w:fldChar w:fldCharType="begin"/>
      </w:r>
      <w:r>
        <w:instrText xml:space="preserve"> SEQ level0 \*arabic </w:instrText>
      </w:r>
      <w:r>
        <w:fldChar w:fldCharType="separate"/>
      </w:r>
      <w:r w:rsidR="005F3BDE">
        <w:rPr>
          <w:noProof/>
        </w:rPr>
        <w:t>73</w:t>
      </w:r>
      <w:r>
        <w:fldChar w:fldCharType="end"/>
      </w:r>
      <w:r>
        <w:t xml:space="preserve">.  The applicant </w:t>
      </w:r>
      <w:r w:rsidR="00A6737D">
        <w:t xml:space="preserve">submitted that the frustration and helplessness suffered by him, the acquittal of the police officer, </w:t>
      </w:r>
      <w:r w:rsidR="00C556D3">
        <w:t xml:space="preserve">and </w:t>
      </w:r>
      <w:r w:rsidR="00A6737D">
        <w:t>the deficiencies in the investigatory process which yielded no sanctions</w:t>
      </w:r>
      <w:r w:rsidR="00C556D3">
        <w:t>,</w:t>
      </w:r>
      <w:r w:rsidR="00A6737D">
        <w:t xml:space="preserve"> </w:t>
      </w:r>
      <w:r w:rsidR="00432125">
        <w:t>were</w:t>
      </w:r>
      <w:r w:rsidR="00A6737D">
        <w:t xml:space="preserve"> equal in severity to cases of the same type already considered by the Court, such as </w:t>
      </w:r>
      <w:r w:rsidR="00A6737D" w:rsidRPr="003B2CD0">
        <w:rPr>
          <w:i/>
        </w:rPr>
        <w:t>Bekos an</w:t>
      </w:r>
      <w:r w:rsidR="00B45A3C" w:rsidRPr="003B2CD0">
        <w:rPr>
          <w:i/>
        </w:rPr>
        <w:t>d Koutropoulos</w:t>
      </w:r>
      <w:r w:rsidR="00C556D3">
        <w:rPr>
          <w:i/>
        </w:rPr>
        <w:t>,</w:t>
      </w:r>
      <w:r w:rsidR="00B45A3C">
        <w:t xml:space="preserve"> cited abov</w:t>
      </w:r>
      <w:r w:rsidR="007A6E89">
        <w:t>e</w:t>
      </w:r>
      <w:r w:rsidR="00C556D3">
        <w:t>,</w:t>
      </w:r>
      <w:r w:rsidR="007A6E89">
        <w:t xml:space="preserve"> in which the Court awarded </w:t>
      </w:r>
      <w:r w:rsidR="003B2CD0">
        <w:t xml:space="preserve">EUR </w:t>
      </w:r>
      <w:r w:rsidR="007A6E89">
        <w:t>10,</w:t>
      </w:r>
      <w:r w:rsidR="00B45A3C">
        <w:t>000</w:t>
      </w:r>
      <w:r w:rsidR="007419DE">
        <w:t xml:space="preserve"> </w:t>
      </w:r>
      <w:r w:rsidR="00B45A3C">
        <w:t>for non-pecuniary damage.</w:t>
      </w:r>
      <w:r w:rsidR="007419DE">
        <w:t xml:space="preserve"> The applicant </w:t>
      </w:r>
      <w:r w:rsidR="00432125">
        <w:t>sought</w:t>
      </w:r>
      <w:r w:rsidR="007419DE">
        <w:t xml:space="preserve"> non-pecuniary damage</w:t>
      </w:r>
      <w:r w:rsidR="00C556D3">
        <w:t>s which reflect</w:t>
      </w:r>
      <w:r w:rsidR="00432125">
        <w:t>ed</w:t>
      </w:r>
      <w:r w:rsidR="00C556D3">
        <w:t xml:space="preserve"> </w:t>
      </w:r>
      <w:r w:rsidR="007419DE">
        <w:t xml:space="preserve">the extreme pain, distress and anxiety </w:t>
      </w:r>
      <w:r w:rsidR="00C556D3">
        <w:t xml:space="preserve">he </w:t>
      </w:r>
      <w:r w:rsidR="00432125">
        <w:t xml:space="preserve">had </w:t>
      </w:r>
      <w:r w:rsidR="007419DE">
        <w:t xml:space="preserve">suffered from </w:t>
      </w:r>
      <w:r w:rsidR="00C556D3">
        <w:t xml:space="preserve">the </w:t>
      </w:r>
      <w:r w:rsidR="007419DE">
        <w:t xml:space="preserve">age </w:t>
      </w:r>
      <w:r w:rsidR="00C556D3">
        <w:t>of sixteen</w:t>
      </w:r>
      <w:r w:rsidR="007419DE">
        <w:t xml:space="preserve"> onwards</w:t>
      </w:r>
      <w:r w:rsidR="00C556D3">
        <w:t>,</w:t>
      </w:r>
      <w:r w:rsidR="007419DE">
        <w:t xml:space="preserve"> and takes into consideration that there is also an </w:t>
      </w:r>
      <w:r w:rsidR="00C556D3">
        <w:t xml:space="preserve">allegation of </w:t>
      </w:r>
      <w:r w:rsidR="007419DE">
        <w:t xml:space="preserve">excessive length of proceedings. He </w:t>
      </w:r>
      <w:r w:rsidR="00E100F3">
        <w:t>claim</w:t>
      </w:r>
      <w:r w:rsidR="00432125">
        <w:t>ed</w:t>
      </w:r>
      <w:r w:rsidR="00E100F3">
        <w:t xml:space="preserve"> </w:t>
      </w:r>
      <w:r w:rsidR="007A6E89">
        <w:t xml:space="preserve">a total amount of </w:t>
      </w:r>
      <w:r w:rsidR="003B2CD0">
        <w:t xml:space="preserve">EUR </w:t>
      </w:r>
      <w:r w:rsidR="007A6E89">
        <w:t>25,</w:t>
      </w:r>
      <w:r w:rsidR="007419DE">
        <w:t>000.</w:t>
      </w:r>
    </w:p>
    <w:p w:rsidR="002C1D13" w:rsidRDefault="003A6105">
      <w:pPr>
        <w:pStyle w:val="JuPara"/>
      </w:pPr>
      <w:r>
        <w:fldChar w:fldCharType="begin"/>
      </w:r>
      <w:r>
        <w:instrText xml:space="preserve"> SEQ level0 \*arabic </w:instrText>
      </w:r>
      <w:r>
        <w:fldChar w:fldCharType="separate"/>
      </w:r>
      <w:r w:rsidR="005F3BDE">
        <w:rPr>
          <w:noProof/>
        </w:rPr>
        <w:t>74</w:t>
      </w:r>
      <w:r>
        <w:fldChar w:fldCharType="end"/>
      </w:r>
      <w:r>
        <w:t>.  </w:t>
      </w:r>
      <w:r w:rsidR="002C1D13">
        <w:t xml:space="preserve">The Government </w:t>
      </w:r>
      <w:r w:rsidR="00E100F3">
        <w:t>conside</w:t>
      </w:r>
      <w:r w:rsidR="00735EE5">
        <w:t>red</w:t>
      </w:r>
      <w:r w:rsidR="00E100F3">
        <w:t xml:space="preserve"> the amount claimed exorbitant and submit</w:t>
      </w:r>
      <w:r w:rsidR="00C556D3">
        <w:t>ted</w:t>
      </w:r>
      <w:r w:rsidR="00E100F3">
        <w:t xml:space="preserve"> that the finding of a violation would constitute sufficient just satisfaction. Otherwise, the Government consider</w:t>
      </w:r>
      <w:r w:rsidR="00735EE5">
        <w:t>ed</w:t>
      </w:r>
      <w:r w:rsidR="00E100F3">
        <w:t xml:space="preserve"> that if the Court </w:t>
      </w:r>
      <w:r w:rsidR="00C556D3">
        <w:t>held</w:t>
      </w:r>
      <w:r>
        <w:t xml:space="preserve"> </w:t>
      </w:r>
      <w:r w:rsidR="00E100F3">
        <w:t xml:space="preserve">that an amount should be awarded to the applicant </w:t>
      </w:r>
      <w:r w:rsidR="003629C1">
        <w:t xml:space="preserve">EUR </w:t>
      </w:r>
      <w:r w:rsidR="007A6E89">
        <w:t>5,</w:t>
      </w:r>
      <w:r w:rsidR="00386185">
        <w:t>000 would be adequate and reasonable.</w:t>
      </w:r>
    </w:p>
    <w:p w:rsidR="007A6E89" w:rsidRDefault="003A6105" w:rsidP="007A6E89">
      <w:pPr>
        <w:pStyle w:val="JuPara"/>
      </w:pPr>
      <w:r>
        <w:fldChar w:fldCharType="begin"/>
      </w:r>
      <w:r>
        <w:instrText xml:space="preserve"> SEQ level0 \*arabic </w:instrText>
      </w:r>
      <w:r>
        <w:fldChar w:fldCharType="separate"/>
      </w:r>
      <w:r w:rsidR="005F3BDE">
        <w:rPr>
          <w:noProof/>
        </w:rPr>
        <w:t>75</w:t>
      </w:r>
      <w:r>
        <w:fldChar w:fldCharType="end"/>
      </w:r>
      <w:r>
        <w:t>.  </w:t>
      </w:r>
      <w:r w:rsidR="007A6E89">
        <w:t>The Court considers that the applicant ha</w:t>
      </w:r>
      <w:r w:rsidR="00C556D3">
        <w:t>s</w:t>
      </w:r>
      <w:r w:rsidR="007A6E89">
        <w:t xml:space="preserve"> undoubtedly suffered non-pecuniary damage</w:t>
      </w:r>
      <w:bookmarkStart w:id="6" w:name="HIT41"/>
      <w:bookmarkEnd w:id="6"/>
      <w:r w:rsidR="007A6E89" w:rsidRPr="009F4020">
        <w:t xml:space="preserve"> </w:t>
      </w:r>
      <w:r w:rsidR="007A6E89">
        <w:t>which cannot be co</w:t>
      </w:r>
      <w:r w:rsidR="00F1178B">
        <w:t>mpensated solely by the finding</w:t>
      </w:r>
      <w:r w:rsidR="007A6E89">
        <w:t xml:space="preserve"> of </w:t>
      </w:r>
      <w:r w:rsidR="00F1178B">
        <w:t>a violation in respect of Articles 3 and 6 § 1</w:t>
      </w:r>
      <w:r w:rsidR="00482877">
        <w:t>of the Convention</w:t>
      </w:r>
      <w:r w:rsidR="007A6E89">
        <w:t>. Having regard to the specific circumstances of the case, the number of violations found and ruling on an equitable basis, the Court awards the applicant EUR </w:t>
      </w:r>
      <w:r w:rsidR="002C218F">
        <w:t>20</w:t>
      </w:r>
      <w:r w:rsidR="007A6E89">
        <w:t>,000, plus any tax that may be chargeable on that amount.</w:t>
      </w:r>
    </w:p>
    <w:p w:rsidR="00CD49A7" w:rsidRPr="00627CB0" w:rsidRDefault="00CD49A7">
      <w:pPr>
        <w:pStyle w:val="JuHA"/>
      </w:pPr>
      <w:r w:rsidRPr="00627CB0">
        <w:t>B.  Costs and expenses</w:t>
      </w:r>
    </w:p>
    <w:p w:rsidR="00CD49A7" w:rsidRDefault="00627CB0">
      <w:pPr>
        <w:pStyle w:val="JuPara"/>
      </w:pPr>
      <w:r w:rsidRPr="00627CB0">
        <w:fldChar w:fldCharType="begin"/>
      </w:r>
      <w:r w:rsidRPr="00627CB0">
        <w:instrText xml:space="preserve"> SEQ level0 \*arabic </w:instrText>
      </w:r>
      <w:r w:rsidRPr="00627CB0">
        <w:fldChar w:fldCharType="separate"/>
      </w:r>
      <w:r w:rsidR="005F3BDE">
        <w:rPr>
          <w:noProof/>
        </w:rPr>
        <w:t>76</w:t>
      </w:r>
      <w:r w:rsidRPr="00627CB0">
        <w:fldChar w:fldCharType="end"/>
      </w:r>
      <w:r w:rsidR="00CD49A7" w:rsidRPr="00627CB0">
        <w:t>.  </w:t>
      </w:r>
      <w:r w:rsidR="00735EE5">
        <w:t>The applicant requested</w:t>
      </w:r>
      <w:r w:rsidR="002C27CE">
        <w:t xml:space="preserve"> that </w:t>
      </w:r>
      <w:r w:rsidR="00EA5FA6">
        <w:t>Greek</w:t>
      </w:r>
      <w:r w:rsidR="002C27CE">
        <w:t xml:space="preserve"> Helsinki Monitor, which is representing him free </w:t>
      </w:r>
      <w:r w:rsidR="00432125">
        <w:t xml:space="preserve">of charge </w:t>
      </w:r>
      <w:r w:rsidR="002C27CE">
        <w:t>before the Court, b</w:t>
      </w:r>
      <w:r w:rsidR="007A6E89">
        <w:t xml:space="preserve">e directly awarded </w:t>
      </w:r>
      <w:r w:rsidR="00A566ED">
        <w:t>the</w:t>
      </w:r>
      <w:r w:rsidR="007A6E89">
        <w:t xml:space="preserve"> sum of </w:t>
      </w:r>
      <w:r w:rsidR="00332A65">
        <w:t xml:space="preserve">EUR </w:t>
      </w:r>
      <w:r w:rsidR="007A6E89">
        <w:t>3,</w:t>
      </w:r>
      <w:r w:rsidR="002C27CE">
        <w:t xml:space="preserve">000 for fees and expenses incurred during all the stages of both the domestic proceedings and the proceedings before the Court, </w:t>
      </w:r>
      <w:r w:rsidR="00EC2690">
        <w:t xml:space="preserve">to be </w:t>
      </w:r>
      <w:r w:rsidR="002C27CE">
        <w:t xml:space="preserve">paid to lawyer T.A. as evidenced by the </w:t>
      </w:r>
      <w:r w:rsidR="00EC2690">
        <w:t>invoice</w:t>
      </w:r>
      <w:r w:rsidR="002C27CE">
        <w:t xml:space="preserve"> issued o</w:t>
      </w:r>
      <w:r w:rsidR="00EA5FA6">
        <w:t>n 30 November 2008.</w:t>
      </w:r>
      <w:r w:rsidR="002C27CE">
        <w:t xml:space="preserve"> </w:t>
      </w:r>
      <w:r w:rsidR="00C660FE">
        <w:t>The applicant invite</w:t>
      </w:r>
      <w:r w:rsidR="00432125">
        <w:t>d</w:t>
      </w:r>
      <w:r w:rsidR="00C660FE">
        <w:t xml:space="preserve"> </w:t>
      </w:r>
      <w:r w:rsidR="00C556D3">
        <w:t xml:space="preserve">the </w:t>
      </w:r>
      <w:r w:rsidR="00C660FE">
        <w:t xml:space="preserve">Court to specify in the judgment that the award be paid </w:t>
      </w:r>
      <w:r w:rsidR="00C556D3">
        <w:t xml:space="preserve">directly </w:t>
      </w:r>
      <w:r w:rsidR="00C660FE">
        <w:t xml:space="preserve">into </w:t>
      </w:r>
      <w:r w:rsidR="00C556D3">
        <w:t xml:space="preserve">the </w:t>
      </w:r>
      <w:r w:rsidR="00C660FE">
        <w:t>bank account indicate</w:t>
      </w:r>
      <w:r w:rsidR="00735EE5">
        <w:t>d</w:t>
      </w:r>
      <w:r w:rsidR="00C660FE">
        <w:t xml:space="preserve"> by </w:t>
      </w:r>
      <w:r w:rsidR="00726A8F">
        <w:t>Greek</w:t>
      </w:r>
      <w:r w:rsidR="00C660FE">
        <w:t xml:space="preserve"> Helsinki Monitor.</w:t>
      </w:r>
    </w:p>
    <w:p w:rsidR="00C74995" w:rsidRDefault="00C660FE">
      <w:pPr>
        <w:pStyle w:val="JuPara"/>
      </w:pPr>
      <w:r>
        <w:fldChar w:fldCharType="begin"/>
      </w:r>
      <w:r>
        <w:instrText xml:space="preserve"> SEQ level0 \*arabic </w:instrText>
      </w:r>
      <w:r>
        <w:fldChar w:fldCharType="separate"/>
      </w:r>
      <w:r w:rsidR="005F3BDE">
        <w:rPr>
          <w:noProof/>
        </w:rPr>
        <w:t>77</w:t>
      </w:r>
      <w:r>
        <w:fldChar w:fldCharType="end"/>
      </w:r>
      <w:r>
        <w:t xml:space="preserve">.  The Government </w:t>
      </w:r>
      <w:r w:rsidR="006465B2">
        <w:t>point</w:t>
      </w:r>
      <w:r w:rsidR="00735EE5">
        <w:t>ed</w:t>
      </w:r>
      <w:r w:rsidR="006465B2">
        <w:t xml:space="preserve"> out that the </w:t>
      </w:r>
      <w:r w:rsidR="00EC2690">
        <w:t>invoice</w:t>
      </w:r>
      <w:r w:rsidR="006465B2">
        <w:t xml:space="preserve"> of 30 November 2008 </w:t>
      </w:r>
      <w:r w:rsidR="00432125">
        <w:t>was</w:t>
      </w:r>
      <w:r w:rsidR="006465B2">
        <w:t xml:space="preserve"> drafted vaguely and </w:t>
      </w:r>
      <w:r w:rsidR="00432125">
        <w:t>did</w:t>
      </w:r>
      <w:r w:rsidR="006465B2">
        <w:t xml:space="preserve"> not mention the </w:t>
      </w:r>
      <w:r w:rsidR="00C556D3">
        <w:t>nature</w:t>
      </w:r>
      <w:r w:rsidR="006465B2">
        <w:t xml:space="preserve"> of the expenditure and the actions for which the lawyer </w:t>
      </w:r>
      <w:r w:rsidR="00EC2690">
        <w:t xml:space="preserve">is to be </w:t>
      </w:r>
      <w:r w:rsidR="006465B2">
        <w:t>paid.</w:t>
      </w:r>
      <w:r w:rsidR="00BE3450">
        <w:t xml:space="preserve"> Moreover, lawyer T.A. had no involvement in the proceedings before the Court.</w:t>
      </w:r>
    </w:p>
    <w:p w:rsidR="00735EE5" w:rsidRPr="00224D04" w:rsidRDefault="006465B2" w:rsidP="00735EE5">
      <w:pPr>
        <w:pStyle w:val="JuPara"/>
      </w:pPr>
      <w:r>
        <w:fldChar w:fldCharType="begin"/>
      </w:r>
      <w:r>
        <w:instrText xml:space="preserve"> SEQ level0 \*arabic </w:instrText>
      </w:r>
      <w:r>
        <w:fldChar w:fldCharType="separate"/>
      </w:r>
      <w:r w:rsidR="005F3BDE">
        <w:rPr>
          <w:noProof/>
        </w:rPr>
        <w:t>78</w:t>
      </w:r>
      <w:r>
        <w:fldChar w:fldCharType="end"/>
      </w:r>
      <w:r>
        <w:t xml:space="preserve">.  The Court </w:t>
      </w:r>
      <w:r w:rsidR="00735EE5">
        <w:t>reiterates</w:t>
      </w:r>
      <w:r w:rsidR="00735EE5" w:rsidRPr="00224D04">
        <w:t xml:space="preserve"> that in order for costs and expenses to be reimbursed under Article 41, it must be established that they were actually and necessarily incurred and </w:t>
      </w:r>
      <w:r w:rsidR="00C556D3">
        <w:t>are</w:t>
      </w:r>
      <w:r w:rsidR="00735EE5" w:rsidRPr="00224D04">
        <w:t xml:space="preserve"> reasonable as to quantum (</w:t>
      </w:r>
      <w:r w:rsidR="00735EE5">
        <w:t xml:space="preserve">see, for example, </w:t>
      </w:r>
      <w:r w:rsidR="00735EE5" w:rsidRPr="00744A28">
        <w:rPr>
          <w:rStyle w:val="ju-005fpara-0020char1-0020char--char"/>
          <w:i/>
          <w:iCs/>
        </w:rPr>
        <w:t xml:space="preserve">Nilsen and Johnsen v. Norway </w:t>
      </w:r>
      <w:r w:rsidR="00735EE5" w:rsidRPr="00744A28">
        <w:t>[GC], no. 23118/93, § 62, ECHR 1999-VIII</w:t>
      </w:r>
      <w:r w:rsidR="00735EE5">
        <w:t xml:space="preserve">, and </w:t>
      </w:r>
      <w:r w:rsidR="00735EE5">
        <w:rPr>
          <w:i/>
          <w:lang w:eastAsia="en-US"/>
        </w:rPr>
        <w:t xml:space="preserve">Boicenco </w:t>
      </w:r>
      <w:r w:rsidR="00735EE5" w:rsidRPr="00224D04">
        <w:rPr>
          <w:i/>
          <w:lang w:eastAsia="en-US"/>
        </w:rPr>
        <w:t>v. Moldova</w:t>
      </w:r>
      <w:r w:rsidR="00735EE5" w:rsidRPr="00224D04">
        <w:rPr>
          <w:lang w:eastAsia="en-US"/>
        </w:rPr>
        <w:t xml:space="preserve">, no. </w:t>
      </w:r>
      <w:r w:rsidR="00735EE5">
        <w:rPr>
          <w:lang w:eastAsia="en-US"/>
        </w:rPr>
        <w:t>41088/05</w:t>
      </w:r>
      <w:r w:rsidR="00735EE5" w:rsidRPr="00224D04">
        <w:rPr>
          <w:lang w:eastAsia="en-US"/>
        </w:rPr>
        <w:t xml:space="preserve">, § </w:t>
      </w:r>
      <w:r w:rsidR="00735EE5">
        <w:rPr>
          <w:lang w:eastAsia="en-US"/>
        </w:rPr>
        <w:t>176</w:t>
      </w:r>
      <w:r w:rsidR="00735EE5" w:rsidRPr="00224D04">
        <w:rPr>
          <w:lang w:eastAsia="en-US"/>
        </w:rPr>
        <w:t xml:space="preserve">, </w:t>
      </w:r>
      <w:r w:rsidR="00735EE5">
        <w:rPr>
          <w:lang w:eastAsia="en-US"/>
        </w:rPr>
        <w:t>11 </w:t>
      </w:r>
      <w:r w:rsidR="00735EE5" w:rsidRPr="00224D04">
        <w:rPr>
          <w:lang w:eastAsia="en-US"/>
        </w:rPr>
        <w:t>July</w:t>
      </w:r>
      <w:r w:rsidR="00735EE5">
        <w:rPr>
          <w:lang w:eastAsia="en-US"/>
        </w:rPr>
        <w:t> </w:t>
      </w:r>
      <w:r w:rsidR="00735EE5" w:rsidRPr="00224D04">
        <w:rPr>
          <w:lang w:eastAsia="en-US"/>
        </w:rPr>
        <w:t>200</w:t>
      </w:r>
      <w:r w:rsidR="00735EE5">
        <w:rPr>
          <w:lang w:eastAsia="en-US"/>
        </w:rPr>
        <w:t>6</w:t>
      </w:r>
      <w:r w:rsidR="00735EE5" w:rsidRPr="00224D04">
        <w:t>).</w:t>
      </w:r>
      <w:r w:rsidR="00735EE5">
        <w:t xml:space="preserve"> In accordance with</w:t>
      </w:r>
      <w:r w:rsidR="00735EE5" w:rsidRPr="00224D04">
        <w:t xml:space="preserve"> Rule 60 § 2 of the Rules of Court, itemised particulars of all claims </w:t>
      </w:r>
      <w:r w:rsidR="00735EE5">
        <w:t>must</w:t>
      </w:r>
      <w:r w:rsidR="00735EE5" w:rsidRPr="00224D04">
        <w:t xml:space="preserve"> be submitted, failing which the Chamber may reject the claim in whole or in part.</w:t>
      </w:r>
    </w:p>
    <w:p w:rsidR="00735EE5" w:rsidRPr="00D84C55" w:rsidRDefault="00735EE5" w:rsidP="00735EE5">
      <w:pPr>
        <w:pStyle w:val="JuPara"/>
      </w:pPr>
      <w:r w:rsidRPr="00224D04">
        <w:fldChar w:fldCharType="begin"/>
      </w:r>
      <w:r w:rsidRPr="00224D04">
        <w:instrText xml:space="preserve"> SEQ level0 \*arabic </w:instrText>
      </w:r>
      <w:r w:rsidRPr="00224D04">
        <w:fldChar w:fldCharType="separate"/>
      </w:r>
      <w:r w:rsidR="005F3BDE">
        <w:rPr>
          <w:noProof/>
        </w:rPr>
        <w:t>79</w:t>
      </w:r>
      <w:r w:rsidRPr="00224D04">
        <w:fldChar w:fldCharType="end"/>
      </w:r>
      <w:r w:rsidRPr="00224D04">
        <w:t>.  In the present case</w:t>
      </w:r>
      <w:r>
        <w:t>,</w:t>
      </w:r>
      <w:r w:rsidR="004C01BC">
        <w:t xml:space="preserve"> the Court notes that the applicant </w:t>
      </w:r>
      <w:r w:rsidR="00482877">
        <w:t>informed</w:t>
      </w:r>
      <w:r w:rsidR="00AA1302">
        <w:t xml:space="preserve"> </w:t>
      </w:r>
      <w:r w:rsidR="004C01BC">
        <w:t xml:space="preserve">that he did not </w:t>
      </w:r>
      <w:r w:rsidR="00C556D3">
        <w:t xml:space="preserve">himself </w:t>
      </w:r>
      <w:r w:rsidR="004C01BC">
        <w:t xml:space="preserve">have to pay any </w:t>
      </w:r>
      <w:r w:rsidR="00BB74C7">
        <w:t>costs and expenses (paragraph 76</w:t>
      </w:r>
      <w:r w:rsidR="004C01BC">
        <w:t xml:space="preserve"> above). </w:t>
      </w:r>
      <w:r w:rsidR="00AA1302">
        <w:t>It follows that the applicant is not entitled to any compensation under this head.</w:t>
      </w:r>
    </w:p>
    <w:p w:rsidR="00A6737D" w:rsidRPr="00627CB0" w:rsidRDefault="00FE20C2" w:rsidP="00A6737D">
      <w:pPr>
        <w:pStyle w:val="JuHA"/>
      </w:pPr>
      <w:r>
        <w:t>C</w:t>
      </w:r>
      <w:r w:rsidR="00A6737D">
        <w:t>.  Other requests</w:t>
      </w:r>
    </w:p>
    <w:p w:rsidR="00C74995" w:rsidRDefault="00EA57DF" w:rsidP="00EA57DF">
      <w:pPr>
        <w:pStyle w:val="JuPara"/>
      </w:pPr>
      <w:r>
        <w:fldChar w:fldCharType="begin"/>
      </w:r>
      <w:r>
        <w:instrText xml:space="preserve"> SEQ level0 \*arabic </w:instrText>
      </w:r>
      <w:r>
        <w:fldChar w:fldCharType="separate"/>
      </w:r>
      <w:r w:rsidR="005F3BDE">
        <w:rPr>
          <w:noProof/>
        </w:rPr>
        <w:t>80</w:t>
      </w:r>
      <w:r>
        <w:fldChar w:fldCharType="end"/>
      </w:r>
      <w:r>
        <w:t xml:space="preserve">.  Referring to a joint concurring opinion in the judgment of </w:t>
      </w:r>
      <w:r w:rsidRPr="00EA57DF">
        <w:rPr>
          <w:i/>
        </w:rPr>
        <w:t xml:space="preserve">Salduz v. Turkey </w:t>
      </w:r>
      <w:r>
        <w:t>(n</w:t>
      </w:r>
      <w:r w:rsidR="00432125">
        <w:t>o.</w:t>
      </w:r>
      <w:r>
        <w:t xml:space="preserve"> 36391/02, 27 November 2008)</w:t>
      </w:r>
      <w:r w:rsidR="00C556D3">
        <w:t>,</w:t>
      </w:r>
      <w:r>
        <w:t xml:space="preserve"> and to </w:t>
      </w:r>
      <w:r w:rsidR="00A566ED">
        <w:t xml:space="preserve">the </w:t>
      </w:r>
      <w:r>
        <w:t xml:space="preserve">judgment </w:t>
      </w:r>
      <w:r w:rsidR="00A566ED">
        <w:t xml:space="preserve">of </w:t>
      </w:r>
      <w:r w:rsidRPr="00EA57DF">
        <w:rPr>
          <w:i/>
        </w:rPr>
        <w:t>Nită v. Romania</w:t>
      </w:r>
      <w:r>
        <w:t xml:space="preserve"> (n</w:t>
      </w:r>
      <w:r w:rsidR="00432125">
        <w:t>o.</w:t>
      </w:r>
      <w:r>
        <w:t xml:space="preserve"> 10778/02, §§ 35–36, 4 November 2008), the applicant </w:t>
      </w:r>
      <w:r w:rsidR="00735EE5">
        <w:t>invited</w:t>
      </w:r>
      <w:r w:rsidR="00507A34">
        <w:t xml:space="preserve"> the Court</w:t>
      </w:r>
      <w:r w:rsidR="00665821">
        <w:t xml:space="preserve"> by analogy</w:t>
      </w:r>
      <w:r w:rsidR="00507A34">
        <w:t xml:space="preserve"> to examine the possibility of requesting the reopening of proceedings against those responsible for the violation of Article 3 </w:t>
      </w:r>
      <w:r w:rsidR="00E100F3">
        <w:t>in the present case</w:t>
      </w:r>
      <w:r w:rsidR="00EC2690">
        <w:t>,</w:t>
      </w:r>
      <w:r w:rsidR="00E100F3">
        <w:t xml:space="preserve"> </w:t>
      </w:r>
      <w:r w:rsidR="00507A34">
        <w:t>or at the very least, should it consider that this is not feasible, to award punitive damages to the applicant.</w:t>
      </w:r>
    </w:p>
    <w:p w:rsidR="00C74995" w:rsidRDefault="001A3FBF" w:rsidP="00EA57DF">
      <w:pPr>
        <w:pStyle w:val="JuPara"/>
      </w:pPr>
      <w:r>
        <w:fldChar w:fldCharType="begin"/>
      </w:r>
      <w:r>
        <w:instrText xml:space="preserve"> SEQ level0 \*arabic </w:instrText>
      </w:r>
      <w:r>
        <w:fldChar w:fldCharType="separate"/>
      </w:r>
      <w:r w:rsidR="005F3BDE">
        <w:rPr>
          <w:noProof/>
        </w:rPr>
        <w:t>81</w:t>
      </w:r>
      <w:r>
        <w:fldChar w:fldCharType="end"/>
      </w:r>
      <w:r w:rsidR="00735EE5">
        <w:t>.  The Government did</w:t>
      </w:r>
      <w:r>
        <w:t xml:space="preserve"> not submit any comments in this respect.</w:t>
      </w:r>
    </w:p>
    <w:p w:rsidR="00A03311" w:rsidRDefault="001A3FBF" w:rsidP="00A03311">
      <w:pPr>
        <w:pStyle w:val="JuParaChar1Char"/>
      </w:pPr>
      <w:r>
        <w:fldChar w:fldCharType="begin"/>
      </w:r>
      <w:r>
        <w:instrText xml:space="preserve"> SEQ level0 \*arabic </w:instrText>
      </w:r>
      <w:r>
        <w:fldChar w:fldCharType="separate"/>
      </w:r>
      <w:r w:rsidR="005F3BDE">
        <w:rPr>
          <w:noProof/>
        </w:rPr>
        <w:t>82</w:t>
      </w:r>
      <w:r>
        <w:fldChar w:fldCharType="end"/>
      </w:r>
      <w:r>
        <w:t>.  </w:t>
      </w:r>
      <w:r w:rsidR="00A03311" w:rsidRPr="00011F3C">
        <w:t>The Court notes that in a number of cases it has rejected requests by applicants for exem</w:t>
      </w:r>
      <w:r w:rsidR="00A03311">
        <w:t>plary and punitive damages (</w:t>
      </w:r>
      <w:r w:rsidR="00996C0F">
        <w:t>see</w:t>
      </w:r>
      <w:r w:rsidR="00C556D3">
        <w:t>,</w:t>
      </w:r>
      <w:r w:rsidR="00996C0F">
        <w:t xml:space="preserve"> among others</w:t>
      </w:r>
      <w:r w:rsidR="00C556D3">
        <w:t>,</w:t>
      </w:r>
      <w:r w:rsidR="00996C0F">
        <w:t xml:space="preserve"> </w:t>
      </w:r>
      <w:r w:rsidR="00A03311" w:rsidRPr="00011F3C">
        <w:rPr>
          <w:i/>
        </w:rPr>
        <w:t>Selçuk and Asker v. Turkey</w:t>
      </w:r>
      <w:r w:rsidR="00A03311" w:rsidRPr="00011F3C">
        <w:t xml:space="preserve">, judgment of 24 April 1998, </w:t>
      </w:r>
      <w:r w:rsidR="00A03311" w:rsidRPr="00011F3C">
        <w:rPr>
          <w:i/>
        </w:rPr>
        <w:t>Reports</w:t>
      </w:r>
      <w:r w:rsidR="00996C0F">
        <w:t xml:space="preserve"> 1998-II, p. 918, § </w:t>
      </w:r>
      <w:r w:rsidR="00A03311">
        <w:t>119;</w:t>
      </w:r>
      <w:r w:rsidR="00A03311" w:rsidRPr="00011F3C">
        <w:t xml:space="preserve"> </w:t>
      </w:r>
      <w:r w:rsidR="00A03311" w:rsidRPr="00011F3C">
        <w:rPr>
          <w:i/>
        </w:rPr>
        <w:t>Lustig-Prean and Beckett v. the United Kingdom</w:t>
      </w:r>
      <w:r w:rsidR="00A03311" w:rsidRPr="00011F3C">
        <w:t xml:space="preserve">, </w:t>
      </w:r>
      <w:r w:rsidR="00A03311">
        <w:t xml:space="preserve">[GC], </w:t>
      </w:r>
      <w:r w:rsidR="00332A65">
        <w:t>nos. </w:t>
      </w:r>
      <w:r w:rsidR="00A03311" w:rsidRPr="00011F3C">
        <w:t>31417/98 and 32377/96, §§ 22-23, 27 September 1999</w:t>
      </w:r>
      <w:r w:rsidR="00A03311">
        <w:t>;</w:t>
      </w:r>
      <w:r w:rsidR="00A03311" w:rsidRPr="00A03311">
        <w:t xml:space="preserve"> </w:t>
      </w:r>
      <w:r w:rsidR="00C556D3">
        <w:t xml:space="preserve">and </w:t>
      </w:r>
      <w:r w:rsidR="00A03311" w:rsidRPr="00A03311">
        <w:rPr>
          <w:i/>
        </w:rPr>
        <w:t>İkincisoy v. Turkey</w:t>
      </w:r>
      <w:r w:rsidR="00A03311">
        <w:t>, n</w:t>
      </w:r>
      <w:r w:rsidR="00C74995" w:rsidRPr="00C74995">
        <w:rPr>
          <w:vertAlign w:val="superscript"/>
        </w:rPr>
        <w:t>o</w:t>
      </w:r>
      <w:r w:rsidR="00A03311">
        <w:t xml:space="preserve"> 26144/95, §§149, 27 July 2004</w:t>
      </w:r>
      <w:r w:rsidR="00A03311" w:rsidRPr="00011F3C">
        <w:t>).</w:t>
      </w:r>
    </w:p>
    <w:p w:rsidR="00781759" w:rsidRDefault="00A03311" w:rsidP="00A03311">
      <w:pPr>
        <w:pStyle w:val="JuParaChar1Char"/>
      </w:pPr>
      <w:r>
        <w:fldChar w:fldCharType="begin"/>
      </w:r>
      <w:r>
        <w:instrText xml:space="preserve"> SEQ level0 \*arabic </w:instrText>
      </w:r>
      <w:r>
        <w:fldChar w:fldCharType="separate"/>
      </w:r>
      <w:r w:rsidR="005F3BDE">
        <w:rPr>
          <w:noProof/>
        </w:rPr>
        <w:t>83</w:t>
      </w:r>
      <w:r>
        <w:fldChar w:fldCharType="end"/>
      </w:r>
      <w:r>
        <w:t>.  </w:t>
      </w:r>
      <w:r w:rsidR="00543D2F">
        <w:t xml:space="preserve">Furthermore, the Court </w:t>
      </w:r>
      <w:r w:rsidR="00A566ED">
        <w:t>reiterates</w:t>
      </w:r>
      <w:r w:rsidR="00D36B87">
        <w:t xml:space="preserve"> that</w:t>
      </w:r>
      <w:r w:rsidR="00781759">
        <w:t xml:space="preserve"> in some of its judgments</w:t>
      </w:r>
      <w:r w:rsidR="00D36B87" w:rsidRPr="00D36B87">
        <w:t xml:space="preserve"> </w:t>
      </w:r>
      <w:r w:rsidR="00D36B87">
        <w:t xml:space="preserve">and in order to assist respondent States in fulfilling </w:t>
      </w:r>
      <w:r w:rsidR="00332A65">
        <w:t>their obligations under Article </w:t>
      </w:r>
      <w:r w:rsidR="00D36B87">
        <w:t>46 of the Convention</w:t>
      </w:r>
      <w:r w:rsidR="00781759">
        <w:t>, it has sought to i</w:t>
      </w:r>
      <w:r w:rsidR="00D36B87">
        <w:t>ndicate to them</w:t>
      </w:r>
      <w:r w:rsidR="00781759">
        <w:t xml:space="preserve"> the nature of </w:t>
      </w:r>
      <w:r w:rsidR="00D36B87">
        <w:t xml:space="preserve">the </w:t>
      </w:r>
      <w:r w:rsidR="00781759">
        <w:t>general measures they should adopt in cases</w:t>
      </w:r>
      <w:r w:rsidR="00D36B87">
        <w:t xml:space="preserve"> involving structural problems concerning a large number of persons and where dozens of applications of the same type </w:t>
      </w:r>
      <w:r w:rsidR="00A566ED">
        <w:t>have been</w:t>
      </w:r>
      <w:r w:rsidR="00D36B87">
        <w:t xml:space="preserve"> lodged with it. The Court proceeded likewise for the adoption of individual measures in cases related to the physical liberty of applicants and in cases of restitution of property, while offe</w:t>
      </w:r>
      <w:r w:rsidR="008A7551">
        <w:t>ring the States the choice between restitution and</w:t>
      </w:r>
      <w:r w:rsidR="00D36B87">
        <w:t xml:space="preserve"> compensation</w:t>
      </w:r>
      <w:r w:rsidR="008A7551">
        <w:t xml:space="preserve"> (</w:t>
      </w:r>
      <w:r w:rsidR="005852DC">
        <w:t xml:space="preserve">see </w:t>
      </w:r>
      <w:r w:rsidR="008A7551" w:rsidRPr="007C337B">
        <w:rPr>
          <w:i/>
        </w:rPr>
        <w:t>De Clerck v. Belgium</w:t>
      </w:r>
      <w:r w:rsidR="008A7551">
        <w:t>, n</w:t>
      </w:r>
      <w:r w:rsidR="00432125">
        <w:t>o.</w:t>
      </w:r>
      <w:r w:rsidR="008A7551">
        <w:t> </w:t>
      </w:r>
      <w:r w:rsidR="007C337B">
        <w:t>34316/02, 25 September 2007, § 99).</w:t>
      </w:r>
    </w:p>
    <w:p w:rsidR="008A7551" w:rsidRDefault="008A7551" w:rsidP="00A03311">
      <w:pPr>
        <w:pStyle w:val="JuParaChar1Char"/>
      </w:pPr>
      <w:r>
        <w:fldChar w:fldCharType="begin"/>
      </w:r>
      <w:r>
        <w:instrText xml:space="preserve"> SEQ level0 \*arabic </w:instrText>
      </w:r>
      <w:r>
        <w:fldChar w:fldCharType="separate"/>
      </w:r>
      <w:r w:rsidR="005F3BDE">
        <w:rPr>
          <w:noProof/>
        </w:rPr>
        <w:t>84</w:t>
      </w:r>
      <w:r>
        <w:fldChar w:fldCharType="end"/>
      </w:r>
      <w:r>
        <w:t>.  However</w:t>
      </w:r>
      <w:r w:rsidR="005852DC">
        <w:t>,</w:t>
      </w:r>
      <w:r>
        <w:t xml:space="preserve"> the present case does not fall </w:t>
      </w:r>
      <w:r w:rsidR="005852DC">
        <w:t>into</w:t>
      </w:r>
      <w:r>
        <w:t xml:space="preserve"> one of these categories. The Court has no jurisdiction to direct the Government to reopen proceedings as regards </w:t>
      </w:r>
      <w:r w:rsidR="007C337B">
        <w:t xml:space="preserve">a third </w:t>
      </w:r>
      <w:r w:rsidR="009A4670">
        <w:t>party to them</w:t>
      </w:r>
      <w:r w:rsidR="005852DC">
        <w:t>,</w:t>
      </w:r>
      <w:r w:rsidR="009A4670">
        <w:t xml:space="preserve"> especially as the Convention</w:t>
      </w:r>
      <w:r w:rsidR="00432125">
        <w:t>,</w:t>
      </w:r>
      <w:r w:rsidR="009A4670">
        <w:t xml:space="preserve"> </w:t>
      </w:r>
      <w:r w:rsidR="0069657D">
        <w:t>and in particular Article 6 § 1</w:t>
      </w:r>
      <w:r w:rsidR="00432125">
        <w:t>,</w:t>
      </w:r>
      <w:r w:rsidR="0069657D">
        <w:t xml:space="preserve"> </w:t>
      </w:r>
      <w:r w:rsidR="009A4670">
        <w:t>does not</w:t>
      </w:r>
      <w:r w:rsidR="0069657D">
        <w:t xml:space="preserve"> guarantee</w:t>
      </w:r>
      <w:r w:rsidR="009A4670">
        <w:t xml:space="preserve"> </w:t>
      </w:r>
      <w:r w:rsidR="0069657D">
        <w:t xml:space="preserve">the right to have criminal proceedings instituted against third persons or </w:t>
      </w:r>
      <w:r w:rsidR="005852DC">
        <w:t>the</w:t>
      </w:r>
      <w:r w:rsidR="0069657D">
        <w:t xml:space="preserve"> right to secure a conviction in criminal proceedings.</w:t>
      </w:r>
    </w:p>
    <w:p w:rsidR="00A03311" w:rsidRPr="00E117F3" w:rsidRDefault="00A03311" w:rsidP="00A03311">
      <w:pPr>
        <w:pStyle w:val="JuParaChar1Char"/>
      </w:pPr>
      <w:r>
        <w:fldChar w:fldCharType="begin"/>
      </w:r>
      <w:r>
        <w:instrText xml:space="preserve"> SEQ level0 \*arabic </w:instrText>
      </w:r>
      <w:r>
        <w:fldChar w:fldCharType="separate"/>
      </w:r>
      <w:r w:rsidR="005F3BDE">
        <w:rPr>
          <w:noProof/>
        </w:rPr>
        <w:t>85</w:t>
      </w:r>
      <w:r>
        <w:fldChar w:fldCharType="end"/>
      </w:r>
      <w:r>
        <w:t>.  </w:t>
      </w:r>
      <w:r w:rsidRPr="00E117F3">
        <w:t>The Court therefore dismisses the applicant</w:t>
      </w:r>
      <w:r w:rsidR="00E81900">
        <w:t>'</w:t>
      </w:r>
      <w:r>
        <w:t>s</w:t>
      </w:r>
      <w:r w:rsidRPr="00E117F3">
        <w:t xml:space="preserve"> claim</w:t>
      </w:r>
      <w:r>
        <w:t>s</w:t>
      </w:r>
      <w:r w:rsidRPr="00E117F3">
        <w:t xml:space="preserve"> under this head.</w:t>
      </w:r>
    </w:p>
    <w:p w:rsidR="00CD49A7" w:rsidRPr="00627CB0" w:rsidRDefault="00C24C19">
      <w:pPr>
        <w:pStyle w:val="JuHA"/>
      </w:pPr>
      <w:r>
        <w:t>D</w:t>
      </w:r>
      <w:r w:rsidR="00CD49A7" w:rsidRPr="00627CB0">
        <w:t>.  Default interest</w:t>
      </w:r>
    </w:p>
    <w:p w:rsidR="00CD49A7" w:rsidRPr="00627CB0" w:rsidRDefault="00627CB0">
      <w:pPr>
        <w:pStyle w:val="JuPara"/>
      </w:pPr>
      <w:r w:rsidRPr="00627CB0">
        <w:fldChar w:fldCharType="begin"/>
      </w:r>
      <w:r w:rsidRPr="00627CB0">
        <w:instrText xml:space="preserve"> SEQ level0 \*arabic </w:instrText>
      </w:r>
      <w:r w:rsidRPr="00627CB0">
        <w:fldChar w:fldCharType="separate"/>
      </w:r>
      <w:r w:rsidR="005F3BDE">
        <w:rPr>
          <w:noProof/>
        </w:rPr>
        <w:t>86</w:t>
      </w:r>
      <w:r w:rsidRPr="00627CB0">
        <w:fldChar w:fldCharType="end"/>
      </w:r>
      <w:r w:rsidR="00CD49A7" w:rsidRPr="00627CB0">
        <w:t>.  The Court considers it appropriate that the default interest should be based on the marginal lending rate of the European Central Bank, to which should be added three percentage points.</w:t>
      </w:r>
    </w:p>
    <w:p w:rsidR="00CD49A7" w:rsidRPr="00627CB0" w:rsidRDefault="00CD49A7">
      <w:pPr>
        <w:pStyle w:val="JuHHead"/>
      </w:pPr>
      <w:r w:rsidRPr="00627CB0">
        <w:t xml:space="preserve">FOR THESE REASONS, THE COURT </w:t>
      </w:r>
      <w:r w:rsidR="00767CF0">
        <w:t>UNANIMOUSLY</w:t>
      </w:r>
    </w:p>
    <w:p w:rsidR="00D56B5C" w:rsidRPr="00DA52FF" w:rsidRDefault="00D56B5C" w:rsidP="00D56B5C">
      <w:pPr>
        <w:pStyle w:val="JuList"/>
      </w:pPr>
      <w:r w:rsidRPr="00DA52FF">
        <w:t>1.  </w:t>
      </w:r>
      <w:r w:rsidRPr="00F92F30">
        <w:rPr>
          <w:i/>
        </w:rPr>
        <w:t>Declares</w:t>
      </w:r>
      <w:r w:rsidR="00332A65">
        <w:t xml:space="preserve"> t</w:t>
      </w:r>
      <w:r w:rsidRPr="00F92F30">
        <w:t>he complaint</w:t>
      </w:r>
      <w:r>
        <w:t>s</w:t>
      </w:r>
      <w:r w:rsidRPr="00F92F30">
        <w:t xml:space="preserve"> concerning </w:t>
      </w:r>
      <w:r w:rsidR="00BB0009">
        <w:t>Articles 3,</w:t>
      </w:r>
      <w:r w:rsidR="00332A65">
        <w:t xml:space="preserve"> Article </w:t>
      </w:r>
      <w:r>
        <w:t>6 § 1 (length of proceedings)</w:t>
      </w:r>
      <w:r w:rsidRPr="00F92F30">
        <w:t xml:space="preserve"> </w:t>
      </w:r>
      <w:r w:rsidR="00BB0009">
        <w:t xml:space="preserve">and Article 13 of the Convention </w:t>
      </w:r>
      <w:r w:rsidRPr="00F92F30">
        <w:t>admissible and the remainder of the application inadmissible;</w:t>
      </w:r>
    </w:p>
    <w:p w:rsidR="00CD49A7" w:rsidRPr="00627CB0" w:rsidRDefault="00CD49A7">
      <w:pPr>
        <w:pStyle w:val="JuList"/>
      </w:pPr>
    </w:p>
    <w:p w:rsidR="00CD49A7" w:rsidRPr="00627CB0" w:rsidRDefault="0033093A">
      <w:pPr>
        <w:pStyle w:val="JuList"/>
      </w:pPr>
      <w:r>
        <w:t>2</w:t>
      </w:r>
      <w:r w:rsidR="00CD49A7" w:rsidRPr="00627CB0">
        <w:t>.  </w:t>
      </w:r>
      <w:r w:rsidR="00CD49A7" w:rsidRPr="00627CB0">
        <w:rPr>
          <w:i/>
        </w:rPr>
        <w:t>Holds</w:t>
      </w:r>
      <w:r w:rsidR="00CD49A7" w:rsidRPr="00627CB0">
        <w:t xml:space="preserve"> </w:t>
      </w:r>
      <w:r w:rsidR="00D56B5C">
        <w:t>that there has been a</w:t>
      </w:r>
      <w:r w:rsidR="00CD49A7" w:rsidRPr="00627CB0">
        <w:t xml:space="preserve"> violation of Article </w:t>
      </w:r>
      <w:r w:rsidR="00D56B5C">
        <w:t>3</w:t>
      </w:r>
      <w:r w:rsidR="00CD49A7" w:rsidRPr="00627CB0">
        <w:t xml:space="preserve"> of the Convention</w:t>
      </w:r>
      <w:r w:rsidR="00482877">
        <w:t xml:space="preserve"> </w:t>
      </w:r>
      <w:r w:rsidR="00482877" w:rsidRPr="00767CF0">
        <w:t>in its substantive part</w:t>
      </w:r>
      <w:r w:rsidR="00CD49A7" w:rsidRPr="00627CB0">
        <w:t>;</w:t>
      </w:r>
    </w:p>
    <w:p w:rsidR="00D56B5C" w:rsidRPr="00482877" w:rsidRDefault="00D56B5C" w:rsidP="00D56B5C">
      <w:pPr>
        <w:pStyle w:val="JuList"/>
        <w:rPr>
          <w:b/>
        </w:rPr>
      </w:pPr>
    </w:p>
    <w:p w:rsidR="00482877" w:rsidRPr="00767CF0" w:rsidRDefault="00482877" w:rsidP="00482877">
      <w:pPr>
        <w:pStyle w:val="JuList"/>
      </w:pPr>
      <w:r w:rsidRPr="00767CF0">
        <w:t>3.  </w:t>
      </w:r>
      <w:r w:rsidRPr="00767CF0">
        <w:rPr>
          <w:i/>
        </w:rPr>
        <w:t>Holds</w:t>
      </w:r>
      <w:r w:rsidRPr="00767CF0">
        <w:t xml:space="preserve"> that there is no need to examine separately the procedural complaint under Article 3 of the Convention;</w:t>
      </w:r>
    </w:p>
    <w:p w:rsidR="00482877" w:rsidRDefault="00482877" w:rsidP="00D56B5C">
      <w:pPr>
        <w:pStyle w:val="JuList"/>
      </w:pPr>
    </w:p>
    <w:p w:rsidR="00D56B5C" w:rsidRPr="00E91D6E" w:rsidRDefault="00482877" w:rsidP="00D56B5C">
      <w:pPr>
        <w:pStyle w:val="JuList"/>
      </w:pPr>
      <w:r>
        <w:t>4</w:t>
      </w:r>
      <w:r w:rsidR="00D56B5C" w:rsidRPr="00E91D6E">
        <w:t>.  </w:t>
      </w:r>
      <w:r w:rsidR="00D56B5C" w:rsidRPr="00E91D6E">
        <w:rPr>
          <w:i/>
        </w:rPr>
        <w:t>Holds</w:t>
      </w:r>
      <w:r w:rsidR="00D56B5C" w:rsidRPr="00E91D6E">
        <w:t xml:space="preserve"> that </w:t>
      </w:r>
      <w:r w:rsidR="00D56B5C" w:rsidRPr="00826C86">
        <w:t>there is no need to examine separately the complaint under Article 13 of the Convention;</w:t>
      </w:r>
    </w:p>
    <w:p w:rsidR="00D56B5C" w:rsidRPr="00627CB0" w:rsidRDefault="00D56B5C" w:rsidP="00D56B5C">
      <w:pPr>
        <w:pStyle w:val="JuList"/>
      </w:pPr>
    </w:p>
    <w:p w:rsidR="0033093A" w:rsidRDefault="00482877">
      <w:pPr>
        <w:pStyle w:val="JuList"/>
      </w:pPr>
      <w:r>
        <w:t>5</w:t>
      </w:r>
      <w:r w:rsidR="0033093A" w:rsidRPr="00E91D6E">
        <w:t>.  </w:t>
      </w:r>
      <w:r w:rsidR="0033093A" w:rsidRPr="00E91D6E">
        <w:rPr>
          <w:i/>
        </w:rPr>
        <w:t>Holds</w:t>
      </w:r>
      <w:r w:rsidR="0033093A" w:rsidRPr="00E91D6E">
        <w:t xml:space="preserve"> that there has been a violation of Article </w:t>
      </w:r>
      <w:r w:rsidR="0033093A">
        <w:t>6 § 1</w:t>
      </w:r>
      <w:r w:rsidR="0033093A" w:rsidRPr="00E91D6E">
        <w:t xml:space="preserve"> of the Convention</w:t>
      </w:r>
      <w:r w:rsidR="0033093A">
        <w:t>;</w:t>
      </w:r>
    </w:p>
    <w:p w:rsidR="0033093A" w:rsidRPr="00627CB0" w:rsidRDefault="0033093A">
      <w:pPr>
        <w:pStyle w:val="JuList"/>
      </w:pPr>
    </w:p>
    <w:p w:rsidR="00C74995" w:rsidRDefault="00482877">
      <w:pPr>
        <w:pStyle w:val="JuList"/>
      </w:pPr>
      <w:r>
        <w:t>6</w:t>
      </w:r>
      <w:r w:rsidR="00CD49A7" w:rsidRPr="00627CB0">
        <w:t>.  </w:t>
      </w:r>
      <w:r w:rsidR="00CD49A7" w:rsidRPr="00627CB0">
        <w:rPr>
          <w:i/>
        </w:rPr>
        <w:t>Holds</w:t>
      </w:r>
    </w:p>
    <w:p w:rsidR="00CD49A7" w:rsidRPr="00627CB0" w:rsidRDefault="00CD49A7" w:rsidP="00BB0009">
      <w:pPr>
        <w:pStyle w:val="JuLista"/>
      </w:pPr>
      <w:r w:rsidRPr="00627CB0">
        <w:t xml:space="preserve">(a)  that the respondent State is to pay the </w:t>
      </w:r>
      <w:r w:rsidR="00627CB0" w:rsidRPr="00627CB0">
        <w:t>applicant</w:t>
      </w:r>
      <w:r w:rsidRPr="00627CB0">
        <w:t>, within three months</w:t>
      </w:r>
      <w:r w:rsidR="0033093A">
        <w:t xml:space="preserve"> </w:t>
      </w:r>
      <w:r w:rsidR="00EC2690">
        <w:t>of</w:t>
      </w:r>
      <w:r w:rsidR="00627CB0" w:rsidRPr="00627CB0">
        <w:t xml:space="preserve"> the date on which the judgment becomes final in accordance with Article 44 § 2 of the Convention</w:t>
      </w:r>
      <w:r w:rsidRPr="00627CB0">
        <w:t>,</w:t>
      </w:r>
      <w:r w:rsidR="000E7A68">
        <w:t xml:space="preserve"> </w:t>
      </w:r>
      <w:r w:rsidR="005053D8" w:rsidRPr="00627CB0">
        <w:t xml:space="preserve">EUR </w:t>
      </w:r>
      <w:r w:rsidR="00BB0009">
        <w:t>2</w:t>
      </w:r>
      <w:r w:rsidR="000F5AFA">
        <w:t>0,000 (twenty</w:t>
      </w:r>
      <w:r w:rsidR="0033093A">
        <w:t xml:space="preserve"> thousand</w:t>
      </w:r>
      <w:r w:rsidR="005053D8" w:rsidRPr="00627CB0">
        <w:t xml:space="preserve"> euros),</w:t>
      </w:r>
      <w:r w:rsidR="00F718F9">
        <w:t xml:space="preserve"> </w:t>
      </w:r>
      <w:r w:rsidR="005053D8" w:rsidRPr="00627CB0">
        <w:t>plus</w:t>
      </w:r>
      <w:r w:rsidR="009807B8" w:rsidRPr="00627CB0">
        <w:t xml:space="preserve"> any tax that may be chargeable</w:t>
      </w:r>
      <w:r w:rsidR="005053D8" w:rsidRPr="00627CB0">
        <w:t>,</w:t>
      </w:r>
      <w:r w:rsidR="009807B8" w:rsidRPr="00627CB0">
        <w:t xml:space="preserve"> </w:t>
      </w:r>
      <w:r w:rsidRPr="00627CB0">
        <w:t>in respect of non-pecuniary damage;</w:t>
      </w:r>
    </w:p>
    <w:p w:rsidR="00CD49A7" w:rsidRPr="00627CB0" w:rsidRDefault="00CD49A7" w:rsidP="005248AE">
      <w:pPr>
        <w:pStyle w:val="JuLista"/>
        <w:keepNext/>
        <w:keepLines/>
      </w:pPr>
      <w:r w:rsidRPr="00627CB0">
        <w:t>(b)  that from the expiry of the above-mentioned three months until settlement simple interest shall</w:t>
      </w:r>
      <w:r w:rsidR="0033093A">
        <w:t xml:space="preserve"> be payable on the above amount</w:t>
      </w:r>
      <w:r w:rsidRPr="00627CB0">
        <w:t>s at a rate equal to the marginal lending rate of the European Central Bank during the default peri</w:t>
      </w:r>
      <w:r w:rsidR="00015870">
        <w:t>od plus three percentage points.</w:t>
      </w:r>
    </w:p>
    <w:p w:rsidR="00CD49A7" w:rsidRPr="00627CB0" w:rsidRDefault="00CD49A7" w:rsidP="005248AE">
      <w:pPr>
        <w:pStyle w:val="JuList"/>
        <w:keepNext/>
        <w:keepLines/>
      </w:pPr>
    </w:p>
    <w:p w:rsidR="00CD49A7" w:rsidRPr="00627CB0" w:rsidRDefault="00482877">
      <w:pPr>
        <w:pStyle w:val="JuList"/>
      </w:pPr>
      <w:r>
        <w:t>7</w:t>
      </w:r>
      <w:r w:rsidR="00CD49A7" w:rsidRPr="00627CB0">
        <w:t>.  </w:t>
      </w:r>
      <w:r w:rsidR="00CD49A7" w:rsidRPr="00627CB0">
        <w:rPr>
          <w:i/>
        </w:rPr>
        <w:t>Dismisses</w:t>
      </w:r>
      <w:r w:rsidR="00CD49A7" w:rsidRPr="00627CB0">
        <w:t xml:space="preserve"> the remainder of the </w:t>
      </w:r>
      <w:r w:rsidR="00627CB0" w:rsidRPr="00627CB0">
        <w:t>applicant</w:t>
      </w:r>
      <w:r w:rsidR="00E81900">
        <w:t>'</w:t>
      </w:r>
      <w:r w:rsidR="00627CB0" w:rsidRPr="00627CB0">
        <w:t>s</w:t>
      </w:r>
      <w:r w:rsidR="00CD49A7" w:rsidRPr="00627CB0">
        <w:t xml:space="preserve"> claim for just satisfaction.</w:t>
      </w:r>
    </w:p>
    <w:p w:rsidR="000C5228" w:rsidRPr="00627CB0" w:rsidRDefault="00CD49A7" w:rsidP="000C5228">
      <w:pPr>
        <w:pStyle w:val="JuParaLast"/>
      </w:pPr>
      <w:r w:rsidRPr="00627CB0">
        <w:t xml:space="preserve">Done in English, and notified in writing on </w:t>
      </w:r>
      <w:r w:rsidR="00767CF0">
        <w:t>22 April 2010</w:t>
      </w:r>
      <w:r w:rsidRPr="00627CB0">
        <w:t>, pursuant to Rule 77 §§</w:t>
      </w:r>
      <w:r w:rsidR="00A403DC">
        <w:t xml:space="preserve"> 2 and 3 of the Rules of Court.</w:t>
      </w:r>
    </w:p>
    <w:p w:rsidR="005F0A59" w:rsidRPr="00627CB0" w:rsidRDefault="007950E2" w:rsidP="007815D2">
      <w:pPr>
        <w:pStyle w:val="JuSigned"/>
        <w:keepNext/>
        <w:keepLines/>
      </w:pPr>
      <w:r w:rsidRPr="00627CB0">
        <w:tab/>
      </w:r>
      <w:r w:rsidR="00627CB0" w:rsidRPr="00627CB0">
        <w:t>Søren</w:t>
      </w:r>
      <w:r w:rsidR="005F0A59" w:rsidRPr="00627CB0">
        <w:t xml:space="preserve"> </w:t>
      </w:r>
      <w:r w:rsidR="00627CB0" w:rsidRPr="00627CB0">
        <w:t>Nielsen</w:t>
      </w:r>
      <w:r w:rsidR="005F0A59" w:rsidRPr="00627CB0">
        <w:tab/>
      </w:r>
      <w:r w:rsidR="007A6E89" w:rsidRPr="00D75925">
        <w:t>Nina Vajić</w:t>
      </w:r>
      <w:r w:rsidR="005F0A59" w:rsidRPr="00627CB0">
        <w:br/>
      </w:r>
      <w:r w:rsidRPr="00627CB0">
        <w:tab/>
      </w:r>
      <w:r w:rsidR="00627CB0" w:rsidRPr="00627CB0">
        <w:t>Registrar</w:t>
      </w:r>
      <w:r w:rsidR="00423C5E" w:rsidRPr="00627CB0">
        <w:tab/>
      </w:r>
      <w:r w:rsidR="005F0A59" w:rsidRPr="00627CB0">
        <w:t>President</w:t>
      </w:r>
    </w:p>
    <w:sectPr w:rsidR="005F0A59" w:rsidRPr="00627CB0" w:rsidSect="00630D70">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9B" w:rsidRDefault="00E3399B">
      <w:r>
        <w:separator/>
      </w:r>
    </w:p>
  </w:endnote>
  <w:endnote w:type="continuationSeparator" w:id="0">
    <w:p w:rsidR="00E3399B" w:rsidRDefault="00E3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9B" w:rsidRDefault="00E3399B">
      <w:r>
        <w:separator/>
      </w:r>
    </w:p>
  </w:footnote>
  <w:footnote w:type="continuationSeparator" w:id="0">
    <w:p w:rsidR="00E3399B" w:rsidRDefault="00E3399B">
      <w:r>
        <w:continuationSeparator/>
      </w:r>
    </w:p>
  </w:footnote>
  <w:footnote w:id="1">
    <w:p w:rsidR="00E3399B" w:rsidRPr="006C365B" w:rsidRDefault="00E3399B">
      <w:pPr>
        <w:pStyle w:val="FootnoteText"/>
      </w:pPr>
      <w:r>
        <w:rPr>
          <w:rStyle w:val="FootnoteReference"/>
        </w:rPr>
        <w:footnoteRef/>
      </w:r>
      <w:r>
        <w:t xml:space="preserve"> </w:t>
      </w:r>
      <w:r w:rsidRPr="006C365B">
        <w:t>Rectified on 1 July 2010. The text was: « </w:t>
      </w:r>
      <w:r w:rsidRPr="00380046">
        <w:rPr>
          <w:szCs w:val="24"/>
        </w:rPr>
        <w:t>the prosecutor’s office ordered a sworn administrative investigation (« </w:t>
      </w:r>
      <w:r w:rsidRPr="00380046">
        <w:rPr>
          <w:i/>
          <w:szCs w:val="24"/>
        </w:rPr>
        <w:t>Enorki Dioikitiki Exetasi EDE</w:t>
      </w:r>
      <w:r w:rsidRPr="00380046">
        <w:rPr>
          <w:szCs w:val="24"/>
        </w:rPr>
        <w:t> »)</w:t>
      </w:r>
      <w:r>
        <w:rPr>
          <w:szCs w:val="24"/>
        </w:rPr>
        <w:t xml:space="preserve"> </w:t>
      </w:r>
      <w:r w:rsidRPr="006C36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9B" w:rsidRPr="00C00F0F" w:rsidRDefault="00E3399B">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pt;height:164.3pt">
          <v:imagedata r:id="rId1" o:title="TranspDocHeaderBigBlack"/>
        </v:shape>
      </w:pict>
    </w:r>
  </w:p>
  <w:p w:rsidR="00E3399B" w:rsidRPr="00630D70" w:rsidRDefault="00E3399B" w:rsidP="00630D70">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9B" w:rsidRDefault="00E3399B">
    <w:pPr>
      <w:pStyle w:val="JuHeader"/>
    </w:pPr>
    <w:r>
      <w:rPr>
        <w:rStyle w:val="PageNumber"/>
      </w:rPr>
      <w:fldChar w:fldCharType="begin"/>
    </w:r>
    <w:r>
      <w:rPr>
        <w:rStyle w:val="PageNumber"/>
      </w:rPr>
      <w:instrText xml:space="preserve"> PAGE </w:instrText>
    </w:r>
    <w:r>
      <w:rPr>
        <w:rStyle w:val="PageNumber"/>
      </w:rPr>
      <w:fldChar w:fldCharType="separate"/>
    </w:r>
    <w:r w:rsidR="005F3BDE">
      <w:rPr>
        <w:rStyle w:val="PageNumber"/>
        <w:noProof/>
      </w:rPr>
      <w:t>64</w:t>
    </w:r>
    <w:r>
      <w:rPr>
        <w:rStyle w:val="PageNumber"/>
      </w:rPr>
      <w:fldChar w:fldCharType="end"/>
    </w:r>
    <w:r>
      <w:tab/>
      <w:t xml:space="preserve">STEFANOU v. </w:t>
    </w:r>
    <w:smartTag w:uri="urn:schemas-microsoft-com:office:smarttags" w:element="country-region">
      <w:smartTag w:uri="urn:schemas-microsoft-com:office:smarttags" w:element="place">
        <w:r>
          <w:t>GREECE</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9B" w:rsidRDefault="00E3399B">
    <w:pPr>
      <w:pStyle w:val="JuHeader"/>
      <w:rPr>
        <w:rStyle w:val="PageNumber"/>
      </w:rPr>
    </w:pPr>
    <w:r>
      <w:tab/>
      <w:t xml:space="preserve">STEFANOU v. </w:t>
    </w:r>
    <w:smartTag w:uri="urn:schemas-microsoft-com:office:smarttags" w:element="place">
      <w:smartTag w:uri="urn:schemas-microsoft-com:office:smarttags" w:element="country-region">
        <w:r>
          <w:t>GREECE</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5F3BDE">
      <w:rPr>
        <w:rStyle w:val="PageNumber"/>
        <w:noProof/>
      </w:rPr>
      <w:t>64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CB0"/>
    <w:rsid w:val="000012DA"/>
    <w:rsid w:val="00001448"/>
    <w:rsid w:val="00001804"/>
    <w:rsid w:val="0000381A"/>
    <w:rsid w:val="0000618E"/>
    <w:rsid w:val="00006AC9"/>
    <w:rsid w:val="00011210"/>
    <w:rsid w:val="00015870"/>
    <w:rsid w:val="00021DE8"/>
    <w:rsid w:val="00036566"/>
    <w:rsid w:val="000422E3"/>
    <w:rsid w:val="00043F65"/>
    <w:rsid w:val="00044C37"/>
    <w:rsid w:val="00072B29"/>
    <w:rsid w:val="00085109"/>
    <w:rsid w:val="00085651"/>
    <w:rsid w:val="00091D0C"/>
    <w:rsid w:val="000A262D"/>
    <w:rsid w:val="000B281A"/>
    <w:rsid w:val="000B2CF5"/>
    <w:rsid w:val="000B5977"/>
    <w:rsid w:val="000C1D45"/>
    <w:rsid w:val="000C5228"/>
    <w:rsid w:val="000D37A7"/>
    <w:rsid w:val="000D43DB"/>
    <w:rsid w:val="000D7A6B"/>
    <w:rsid w:val="000E2ABE"/>
    <w:rsid w:val="000E4CBF"/>
    <w:rsid w:val="000E7A68"/>
    <w:rsid w:val="000F5861"/>
    <w:rsid w:val="000F5AFA"/>
    <w:rsid w:val="001028F0"/>
    <w:rsid w:val="00103908"/>
    <w:rsid w:val="00110CFA"/>
    <w:rsid w:val="001124E3"/>
    <w:rsid w:val="00117DBA"/>
    <w:rsid w:val="001236E7"/>
    <w:rsid w:val="00124DE8"/>
    <w:rsid w:val="00126845"/>
    <w:rsid w:val="00136071"/>
    <w:rsid w:val="00143514"/>
    <w:rsid w:val="001535ED"/>
    <w:rsid w:val="00157C7F"/>
    <w:rsid w:val="00161B5B"/>
    <w:rsid w:val="00165A8A"/>
    <w:rsid w:val="001666E1"/>
    <w:rsid w:val="0017413E"/>
    <w:rsid w:val="00192937"/>
    <w:rsid w:val="001941C9"/>
    <w:rsid w:val="001A26F8"/>
    <w:rsid w:val="001A37FA"/>
    <w:rsid w:val="001A3FBF"/>
    <w:rsid w:val="001C3D47"/>
    <w:rsid w:val="001C7158"/>
    <w:rsid w:val="001E0BC3"/>
    <w:rsid w:val="001E0DC6"/>
    <w:rsid w:val="001E44AA"/>
    <w:rsid w:val="001F1727"/>
    <w:rsid w:val="002033C6"/>
    <w:rsid w:val="0020716D"/>
    <w:rsid w:val="0021006A"/>
    <w:rsid w:val="002122DC"/>
    <w:rsid w:val="002122F2"/>
    <w:rsid w:val="00212F69"/>
    <w:rsid w:val="0021719F"/>
    <w:rsid w:val="002237AA"/>
    <w:rsid w:val="002237B9"/>
    <w:rsid w:val="00225146"/>
    <w:rsid w:val="002268FF"/>
    <w:rsid w:val="00227E1E"/>
    <w:rsid w:val="00233E52"/>
    <w:rsid w:val="00234C57"/>
    <w:rsid w:val="0023700A"/>
    <w:rsid w:val="00244B19"/>
    <w:rsid w:val="00246B00"/>
    <w:rsid w:val="0025045D"/>
    <w:rsid w:val="00250556"/>
    <w:rsid w:val="00252587"/>
    <w:rsid w:val="00256D9C"/>
    <w:rsid w:val="00260A3E"/>
    <w:rsid w:val="00262291"/>
    <w:rsid w:val="002632DE"/>
    <w:rsid w:val="00267BF8"/>
    <w:rsid w:val="0027565B"/>
    <w:rsid w:val="00283F8B"/>
    <w:rsid w:val="00293660"/>
    <w:rsid w:val="00293D1F"/>
    <w:rsid w:val="00294194"/>
    <w:rsid w:val="00296D8C"/>
    <w:rsid w:val="002A4F70"/>
    <w:rsid w:val="002B1355"/>
    <w:rsid w:val="002B5284"/>
    <w:rsid w:val="002B64A8"/>
    <w:rsid w:val="002C1D13"/>
    <w:rsid w:val="002C1DE0"/>
    <w:rsid w:val="002C218F"/>
    <w:rsid w:val="002C27CE"/>
    <w:rsid w:val="002C3E13"/>
    <w:rsid w:val="002C5BAA"/>
    <w:rsid w:val="002C605E"/>
    <w:rsid w:val="002C65AB"/>
    <w:rsid w:val="002D2F19"/>
    <w:rsid w:val="002D5258"/>
    <w:rsid w:val="002D6A32"/>
    <w:rsid w:val="002F314D"/>
    <w:rsid w:val="00302F5F"/>
    <w:rsid w:val="003030BA"/>
    <w:rsid w:val="003037A5"/>
    <w:rsid w:val="0030423E"/>
    <w:rsid w:val="00306634"/>
    <w:rsid w:val="00310A22"/>
    <w:rsid w:val="003124A4"/>
    <w:rsid w:val="00315F8D"/>
    <w:rsid w:val="00316886"/>
    <w:rsid w:val="0032554A"/>
    <w:rsid w:val="00327DED"/>
    <w:rsid w:val="0033093A"/>
    <w:rsid w:val="00332A65"/>
    <w:rsid w:val="0034246A"/>
    <w:rsid w:val="0035039B"/>
    <w:rsid w:val="00352356"/>
    <w:rsid w:val="00352CC8"/>
    <w:rsid w:val="003536AC"/>
    <w:rsid w:val="0035536C"/>
    <w:rsid w:val="00357FBE"/>
    <w:rsid w:val="00361BD1"/>
    <w:rsid w:val="003629C1"/>
    <w:rsid w:val="0036604F"/>
    <w:rsid w:val="00371AB0"/>
    <w:rsid w:val="00372CF3"/>
    <w:rsid w:val="00373355"/>
    <w:rsid w:val="0037466E"/>
    <w:rsid w:val="00386185"/>
    <w:rsid w:val="003862E8"/>
    <w:rsid w:val="0039117A"/>
    <w:rsid w:val="003A6105"/>
    <w:rsid w:val="003A6E01"/>
    <w:rsid w:val="003B09AB"/>
    <w:rsid w:val="003B1355"/>
    <w:rsid w:val="003B2CD0"/>
    <w:rsid w:val="003B4757"/>
    <w:rsid w:val="003C4014"/>
    <w:rsid w:val="003D26D8"/>
    <w:rsid w:val="003D5E3F"/>
    <w:rsid w:val="003D7C41"/>
    <w:rsid w:val="003E3684"/>
    <w:rsid w:val="003E57C3"/>
    <w:rsid w:val="003E5B66"/>
    <w:rsid w:val="003E7D3F"/>
    <w:rsid w:val="003F367B"/>
    <w:rsid w:val="00423C5E"/>
    <w:rsid w:val="00430FDF"/>
    <w:rsid w:val="00432125"/>
    <w:rsid w:val="00434EAF"/>
    <w:rsid w:val="00435D6F"/>
    <w:rsid w:val="00442C95"/>
    <w:rsid w:val="00453C7C"/>
    <w:rsid w:val="004542DB"/>
    <w:rsid w:val="004553E9"/>
    <w:rsid w:val="00460CE2"/>
    <w:rsid w:val="00466588"/>
    <w:rsid w:val="00472181"/>
    <w:rsid w:val="004757B3"/>
    <w:rsid w:val="00481BE6"/>
    <w:rsid w:val="004821FC"/>
    <w:rsid w:val="00482877"/>
    <w:rsid w:val="00490C75"/>
    <w:rsid w:val="004B295B"/>
    <w:rsid w:val="004B54D0"/>
    <w:rsid w:val="004C01BC"/>
    <w:rsid w:val="004C14AB"/>
    <w:rsid w:val="004D089B"/>
    <w:rsid w:val="004D4F4E"/>
    <w:rsid w:val="004D5A8D"/>
    <w:rsid w:val="004D7E15"/>
    <w:rsid w:val="004E3F0F"/>
    <w:rsid w:val="004F1FB8"/>
    <w:rsid w:val="004F3FE4"/>
    <w:rsid w:val="004F58B9"/>
    <w:rsid w:val="005002E6"/>
    <w:rsid w:val="00502C0A"/>
    <w:rsid w:val="005053D8"/>
    <w:rsid w:val="00507A34"/>
    <w:rsid w:val="0051336F"/>
    <w:rsid w:val="00523907"/>
    <w:rsid w:val="00524054"/>
    <w:rsid w:val="005248AE"/>
    <w:rsid w:val="00535AB7"/>
    <w:rsid w:val="00535C44"/>
    <w:rsid w:val="0054256A"/>
    <w:rsid w:val="0054300E"/>
    <w:rsid w:val="00543D2F"/>
    <w:rsid w:val="00553DBB"/>
    <w:rsid w:val="00565DF7"/>
    <w:rsid w:val="00572A8F"/>
    <w:rsid w:val="005761C0"/>
    <w:rsid w:val="005779DA"/>
    <w:rsid w:val="005802BD"/>
    <w:rsid w:val="005803E1"/>
    <w:rsid w:val="00580A33"/>
    <w:rsid w:val="005852DC"/>
    <w:rsid w:val="00587536"/>
    <w:rsid w:val="005877BE"/>
    <w:rsid w:val="00590D71"/>
    <w:rsid w:val="005A3572"/>
    <w:rsid w:val="005B1D48"/>
    <w:rsid w:val="005B4A37"/>
    <w:rsid w:val="005B69C3"/>
    <w:rsid w:val="005C65CB"/>
    <w:rsid w:val="005D4341"/>
    <w:rsid w:val="005D6F66"/>
    <w:rsid w:val="005F0A59"/>
    <w:rsid w:val="005F3BDE"/>
    <w:rsid w:val="005F3E7F"/>
    <w:rsid w:val="0060220C"/>
    <w:rsid w:val="006025E2"/>
    <w:rsid w:val="0060279F"/>
    <w:rsid w:val="0061078C"/>
    <w:rsid w:val="00613B81"/>
    <w:rsid w:val="00620E9C"/>
    <w:rsid w:val="00627CB0"/>
    <w:rsid w:val="00627DF4"/>
    <w:rsid w:val="006306D4"/>
    <w:rsid w:val="00630D70"/>
    <w:rsid w:val="0063367E"/>
    <w:rsid w:val="006377A7"/>
    <w:rsid w:val="006465B2"/>
    <w:rsid w:val="006553F6"/>
    <w:rsid w:val="00655B02"/>
    <w:rsid w:val="00665821"/>
    <w:rsid w:val="00665BA0"/>
    <w:rsid w:val="00666799"/>
    <w:rsid w:val="00666BD5"/>
    <w:rsid w:val="006676F2"/>
    <w:rsid w:val="00675DBD"/>
    <w:rsid w:val="00682202"/>
    <w:rsid w:val="00682452"/>
    <w:rsid w:val="006826E3"/>
    <w:rsid w:val="006845FB"/>
    <w:rsid w:val="00685DD6"/>
    <w:rsid w:val="006945CF"/>
    <w:rsid w:val="0069657D"/>
    <w:rsid w:val="006969D7"/>
    <w:rsid w:val="00697C99"/>
    <w:rsid w:val="006A43F6"/>
    <w:rsid w:val="006B0ADE"/>
    <w:rsid w:val="006B4FE9"/>
    <w:rsid w:val="006C365B"/>
    <w:rsid w:val="006D1246"/>
    <w:rsid w:val="006D27A7"/>
    <w:rsid w:val="006D488D"/>
    <w:rsid w:val="006D7FC4"/>
    <w:rsid w:val="006E5350"/>
    <w:rsid w:val="006E764E"/>
    <w:rsid w:val="006F0AA2"/>
    <w:rsid w:val="006F3CB5"/>
    <w:rsid w:val="006F72E7"/>
    <w:rsid w:val="00700C4F"/>
    <w:rsid w:val="007021FE"/>
    <w:rsid w:val="00706EBB"/>
    <w:rsid w:val="00707BA0"/>
    <w:rsid w:val="007128DC"/>
    <w:rsid w:val="00715623"/>
    <w:rsid w:val="00716079"/>
    <w:rsid w:val="00726A8F"/>
    <w:rsid w:val="0072703B"/>
    <w:rsid w:val="00735EE5"/>
    <w:rsid w:val="0074183E"/>
    <w:rsid w:val="007419DE"/>
    <w:rsid w:val="00755880"/>
    <w:rsid w:val="007576AE"/>
    <w:rsid w:val="007663F7"/>
    <w:rsid w:val="00767CF0"/>
    <w:rsid w:val="00770A40"/>
    <w:rsid w:val="00771D46"/>
    <w:rsid w:val="00771DC8"/>
    <w:rsid w:val="0077385F"/>
    <w:rsid w:val="00775D70"/>
    <w:rsid w:val="007813D9"/>
    <w:rsid w:val="007815D2"/>
    <w:rsid w:val="00781759"/>
    <w:rsid w:val="00783969"/>
    <w:rsid w:val="00791015"/>
    <w:rsid w:val="007950E2"/>
    <w:rsid w:val="0079559F"/>
    <w:rsid w:val="00797584"/>
    <w:rsid w:val="007A2C3C"/>
    <w:rsid w:val="007A6E89"/>
    <w:rsid w:val="007A7F11"/>
    <w:rsid w:val="007B4D9A"/>
    <w:rsid w:val="007B6014"/>
    <w:rsid w:val="007C05F7"/>
    <w:rsid w:val="007C24C8"/>
    <w:rsid w:val="007C283E"/>
    <w:rsid w:val="007C337B"/>
    <w:rsid w:val="007C66F8"/>
    <w:rsid w:val="007C715B"/>
    <w:rsid w:val="007D1B9E"/>
    <w:rsid w:val="007D2983"/>
    <w:rsid w:val="007D3D2D"/>
    <w:rsid w:val="007E10F3"/>
    <w:rsid w:val="007E351A"/>
    <w:rsid w:val="007E77F4"/>
    <w:rsid w:val="007F09F1"/>
    <w:rsid w:val="008029CD"/>
    <w:rsid w:val="00804042"/>
    <w:rsid w:val="00804C95"/>
    <w:rsid w:val="0081078F"/>
    <w:rsid w:val="008117E1"/>
    <w:rsid w:val="00823BFA"/>
    <w:rsid w:val="00830E21"/>
    <w:rsid w:val="008379CA"/>
    <w:rsid w:val="00840FDC"/>
    <w:rsid w:val="00852F35"/>
    <w:rsid w:val="00855C26"/>
    <w:rsid w:val="00861B2E"/>
    <w:rsid w:val="00863507"/>
    <w:rsid w:val="0086674D"/>
    <w:rsid w:val="00870608"/>
    <w:rsid w:val="008760B2"/>
    <w:rsid w:val="00880F59"/>
    <w:rsid w:val="00881036"/>
    <w:rsid w:val="00883F7A"/>
    <w:rsid w:val="008901C4"/>
    <w:rsid w:val="00893258"/>
    <w:rsid w:val="008942BB"/>
    <w:rsid w:val="008945DB"/>
    <w:rsid w:val="00894F7E"/>
    <w:rsid w:val="008A4635"/>
    <w:rsid w:val="008A4EB4"/>
    <w:rsid w:val="008A7551"/>
    <w:rsid w:val="008A7A0A"/>
    <w:rsid w:val="008C2119"/>
    <w:rsid w:val="008C2232"/>
    <w:rsid w:val="008C4102"/>
    <w:rsid w:val="008C5741"/>
    <w:rsid w:val="008C7E06"/>
    <w:rsid w:val="008D1285"/>
    <w:rsid w:val="008D1C25"/>
    <w:rsid w:val="008D5501"/>
    <w:rsid w:val="008D5528"/>
    <w:rsid w:val="008E0BCE"/>
    <w:rsid w:val="008E27DA"/>
    <w:rsid w:val="008E2DD1"/>
    <w:rsid w:val="008E36F2"/>
    <w:rsid w:val="008F36F5"/>
    <w:rsid w:val="00901DE1"/>
    <w:rsid w:val="00901EE8"/>
    <w:rsid w:val="009068E2"/>
    <w:rsid w:val="00920BC2"/>
    <w:rsid w:val="009214E9"/>
    <w:rsid w:val="009260D5"/>
    <w:rsid w:val="009332FA"/>
    <w:rsid w:val="00934E39"/>
    <w:rsid w:val="00936B62"/>
    <w:rsid w:val="00941198"/>
    <w:rsid w:val="0094557B"/>
    <w:rsid w:val="009539BD"/>
    <w:rsid w:val="0095587C"/>
    <w:rsid w:val="009607CB"/>
    <w:rsid w:val="0096180A"/>
    <w:rsid w:val="00963711"/>
    <w:rsid w:val="0096592C"/>
    <w:rsid w:val="00974FC3"/>
    <w:rsid w:val="0097684A"/>
    <w:rsid w:val="00977925"/>
    <w:rsid w:val="009801CF"/>
    <w:rsid w:val="009807B8"/>
    <w:rsid w:val="009846CD"/>
    <w:rsid w:val="00986C30"/>
    <w:rsid w:val="00991B81"/>
    <w:rsid w:val="0099675E"/>
    <w:rsid w:val="00996C0F"/>
    <w:rsid w:val="00997269"/>
    <w:rsid w:val="009A0233"/>
    <w:rsid w:val="009A4670"/>
    <w:rsid w:val="009A53EA"/>
    <w:rsid w:val="009B298D"/>
    <w:rsid w:val="009C3FF2"/>
    <w:rsid w:val="009C6032"/>
    <w:rsid w:val="009C77FB"/>
    <w:rsid w:val="009D15B9"/>
    <w:rsid w:val="009D3506"/>
    <w:rsid w:val="009D6345"/>
    <w:rsid w:val="009F494B"/>
    <w:rsid w:val="009F4C41"/>
    <w:rsid w:val="00A03311"/>
    <w:rsid w:val="00A05E9B"/>
    <w:rsid w:val="00A05F92"/>
    <w:rsid w:val="00A13306"/>
    <w:rsid w:val="00A16917"/>
    <w:rsid w:val="00A17E29"/>
    <w:rsid w:val="00A27D16"/>
    <w:rsid w:val="00A336C6"/>
    <w:rsid w:val="00A403DC"/>
    <w:rsid w:val="00A42D51"/>
    <w:rsid w:val="00A42F14"/>
    <w:rsid w:val="00A4365F"/>
    <w:rsid w:val="00A43E76"/>
    <w:rsid w:val="00A47876"/>
    <w:rsid w:val="00A539AE"/>
    <w:rsid w:val="00A53A1D"/>
    <w:rsid w:val="00A5569F"/>
    <w:rsid w:val="00A566ED"/>
    <w:rsid w:val="00A602DB"/>
    <w:rsid w:val="00A6737D"/>
    <w:rsid w:val="00A76F5E"/>
    <w:rsid w:val="00A802EF"/>
    <w:rsid w:val="00A811CB"/>
    <w:rsid w:val="00A82A52"/>
    <w:rsid w:val="00A85CDA"/>
    <w:rsid w:val="00A869CB"/>
    <w:rsid w:val="00A948D8"/>
    <w:rsid w:val="00AA0930"/>
    <w:rsid w:val="00AA1302"/>
    <w:rsid w:val="00AA6F7C"/>
    <w:rsid w:val="00AB193C"/>
    <w:rsid w:val="00AB31FC"/>
    <w:rsid w:val="00AB754F"/>
    <w:rsid w:val="00AC0507"/>
    <w:rsid w:val="00AD0A95"/>
    <w:rsid w:val="00AD20D2"/>
    <w:rsid w:val="00AD62FB"/>
    <w:rsid w:val="00AE029D"/>
    <w:rsid w:val="00AE2CA9"/>
    <w:rsid w:val="00AE7A5C"/>
    <w:rsid w:val="00AF139E"/>
    <w:rsid w:val="00AF28D1"/>
    <w:rsid w:val="00B14A8C"/>
    <w:rsid w:val="00B15460"/>
    <w:rsid w:val="00B17EC7"/>
    <w:rsid w:val="00B26B28"/>
    <w:rsid w:val="00B32C8F"/>
    <w:rsid w:val="00B32E60"/>
    <w:rsid w:val="00B36528"/>
    <w:rsid w:val="00B42B3A"/>
    <w:rsid w:val="00B43891"/>
    <w:rsid w:val="00B4571B"/>
    <w:rsid w:val="00B45A3C"/>
    <w:rsid w:val="00B4689D"/>
    <w:rsid w:val="00B544D8"/>
    <w:rsid w:val="00B54AF8"/>
    <w:rsid w:val="00B71C55"/>
    <w:rsid w:val="00B72453"/>
    <w:rsid w:val="00B81350"/>
    <w:rsid w:val="00B94312"/>
    <w:rsid w:val="00B9571C"/>
    <w:rsid w:val="00B97214"/>
    <w:rsid w:val="00B97C66"/>
    <w:rsid w:val="00BA075C"/>
    <w:rsid w:val="00BA30DB"/>
    <w:rsid w:val="00BB0009"/>
    <w:rsid w:val="00BB74C7"/>
    <w:rsid w:val="00BE199A"/>
    <w:rsid w:val="00BE3450"/>
    <w:rsid w:val="00BE4A4F"/>
    <w:rsid w:val="00BF666D"/>
    <w:rsid w:val="00BF6731"/>
    <w:rsid w:val="00BF7FCE"/>
    <w:rsid w:val="00C07EEE"/>
    <w:rsid w:val="00C10EDE"/>
    <w:rsid w:val="00C1354A"/>
    <w:rsid w:val="00C16EED"/>
    <w:rsid w:val="00C24C19"/>
    <w:rsid w:val="00C32A18"/>
    <w:rsid w:val="00C43DBA"/>
    <w:rsid w:val="00C45B70"/>
    <w:rsid w:val="00C46E02"/>
    <w:rsid w:val="00C50288"/>
    <w:rsid w:val="00C51932"/>
    <w:rsid w:val="00C55631"/>
    <w:rsid w:val="00C556D3"/>
    <w:rsid w:val="00C55DCC"/>
    <w:rsid w:val="00C571F7"/>
    <w:rsid w:val="00C660FE"/>
    <w:rsid w:val="00C66EF2"/>
    <w:rsid w:val="00C7205C"/>
    <w:rsid w:val="00C74995"/>
    <w:rsid w:val="00C80126"/>
    <w:rsid w:val="00C91992"/>
    <w:rsid w:val="00C95EC6"/>
    <w:rsid w:val="00C96A0A"/>
    <w:rsid w:val="00C96D65"/>
    <w:rsid w:val="00C97AFF"/>
    <w:rsid w:val="00CA1293"/>
    <w:rsid w:val="00CD42D3"/>
    <w:rsid w:val="00CD49A7"/>
    <w:rsid w:val="00CD789B"/>
    <w:rsid w:val="00CE293A"/>
    <w:rsid w:val="00CF2686"/>
    <w:rsid w:val="00CF46C0"/>
    <w:rsid w:val="00CF5686"/>
    <w:rsid w:val="00D02611"/>
    <w:rsid w:val="00D04CEF"/>
    <w:rsid w:val="00D11F3B"/>
    <w:rsid w:val="00D12372"/>
    <w:rsid w:val="00D132F6"/>
    <w:rsid w:val="00D173BC"/>
    <w:rsid w:val="00D213E1"/>
    <w:rsid w:val="00D25257"/>
    <w:rsid w:val="00D35E1B"/>
    <w:rsid w:val="00D36B87"/>
    <w:rsid w:val="00D4669D"/>
    <w:rsid w:val="00D50E6B"/>
    <w:rsid w:val="00D56B5C"/>
    <w:rsid w:val="00D639A6"/>
    <w:rsid w:val="00D64122"/>
    <w:rsid w:val="00D71E5E"/>
    <w:rsid w:val="00D71FB9"/>
    <w:rsid w:val="00D751F4"/>
    <w:rsid w:val="00D90C7A"/>
    <w:rsid w:val="00D90C8F"/>
    <w:rsid w:val="00D90F55"/>
    <w:rsid w:val="00D92D13"/>
    <w:rsid w:val="00D974DF"/>
    <w:rsid w:val="00D9787E"/>
    <w:rsid w:val="00DA2361"/>
    <w:rsid w:val="00DA3F27"/>
    <w:rsid w:val="00DA40FE"/>
    <w:rsid w:val="00DA4A23"/>
    <w:rsid w:val="00DB26CC"/>
    <w:rsid w:val="00DB51ED"/>
    <w:rsid w:val="00DB78DE"/>
    <w:rsid w:val="00DC1A92"/>
    <w:rsid w:val="00DC20FF"/>
    <w:rsid w:val="00DC5097"/>
    <w:rsid w:val="00DD4C5A"/>
    <w:rsid w:val="00DD4C7C"/>
    <w:rsid w:val="00DE11B8"/>
    <w:rsid w:val="00DE1324"/>
    <w:rsid w:val="00DE2A62"/>
    <w:rsid w:val="00DE324B"/>
    <w:rsid w:val="00DE4B06"/>
    <w:rsid w:val="00DE4B6F"/>
    <w:rsid w:val="00DE5D14"/>
    <w:rsid w:val="00DF25DB"/>
    <w:rsid w:val="00E00C14"/>
    <w:rsid w:val="00E02183"/>
    <w:rsid w:val="00E02CF4"/>
    <w:rsid w:val="00E05BDC"/>
    <w:rsid w:val="00E05E75"/>
    <w:rsid w:val="00E07E86"/>
    <w:rsid w:val="00E1000E"/>
    <w:rsid w:val="00E100F3"/>
    <w:rsid w:val="00E13165"/>
    <w:rsid w:val="00E21EFE"/>
    <w:rsid w:val="00E250FA"/>
    <w:rsid w:val="00E26575"/>
    <w:rsid w:val="00E26FC2"/>
    <w:rsid w:val="00E3399B"/>
    <w:rsid w:val="00E351F4"/>
    <w:rsid w:val="00E363C1"/>
    <w:rsid w:val="00E40982"/>
    <w:rsid w:val="00E466DF"/>
    <w:rsid w:val="00E5020D"/>
    <w:rsid w:val="00E52195"/>
    <w:rsid w:val="00E62B8A"/>
    <w:rsid w:val="00E67017"/>
    <w:rsid w:val="00E676EC"/>
    <w:rsid w:val="00E70289"/>
    <w:rsid w:val="00E756FE"/>
    <w:rsid w:val="00E76434"/>
    <w:rsid w:val="00E81900"/>
    <w:rsid w:val="00E848A7"/>
    <w:rsid w:val="00E9311D"/>
    <w:rsid w:val="00E95550"/>
    <w:rsid w:val="00E971A8"/>
    <w:rsid w:val="00EA482B"/>
    <w:rsid w:val="00EA5749"/>
    <w:rsid w:val="00EA57DF"/>
    <w:rsid w:val="00EA5FA6"/>
    <w:rsid w:val="00EA60FF"/>
    <w:rsid w:val="00EB3398"/>
    <w:rsid w:val="00EC2690"/>
    <w:rsid w:val="00EC3A05"/>
    <w:rsid w:val="00EC6341"/>
    <w:rsid w:val="00EE5EFE"/>
    <w:rsid w:val="00F1178B"/>
    <w:rsid w:val="00F123D7"/>
    <w:rsid w:val="00F12BDF"/>
    <w:rsid w:val="00F144F7"/>
    <w:rsid w:val="00F30AAA"/>
    <w:rsid w:val="00F33032"/>
    <w:rsid w:val="00F36156"/>
    <w:rsid w:val="00F42695"/>
    <w:rsid w:val="00F43833"/>
    <w:rsid w:val="00F4660E"/>
    <w:rsid w:val="00F47D0F"/>
    <w:rsid w:val="00F53D95"/>
    <w:rsid w:val="00F56C33"/>
    <w:rsid w:val="00F57668"/>
    <w:rsid w:val="00F66B61"/>
    <w:rsid w:val="00F70312"/>
    <w:rsid w:val="00F718F9"/>
    <w:rsid w:val="00F766C6"/>
    <w:rsid w:val="00F7792A"/>
    <w:rsid w:val="00F807F0"/>
    <w:rsid w:val="00F82640"/>
    <w:rsid w:val="00F843B7"/>
    <w:rsid w:val="00F84718"/>
    <w:rsid w:val="00F87F77"/>
    <w:rsid w:val="00F9214A"/>
    <w:rsid w:val="00F92A55"/>
    <w:rsid w:val="00F97FAF"/>
    <w:rsid w:val="00FA3351"/>
    <w:rsid w:val="00FA439A"/>
    <w:rsid w:val="00FA5414"/>
    <w:rsid w:val="00FB2E65"/>
    <w:rsid w:val="00FB4A91"/>
    <w:rsid w:val="00FC7D2C"/>
    <w:rsid w:val="00FD168B"/>
    <w:rsid w:val="00FE0320"/>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C4"/>
    <w:pPr>
      <w:suppressAutoHyphens/>
    </w:pPr>
    <w:rPr>
      <w:sz w:val="24"/>
      <w:lang w:val="en-GB" w:eastAsia="fr-FR"/>
    </w:rPr>
  </w:style>
  <w:style w:type="paragraph" w:styleId="Heading1">
    <w:name w:val="heading 1"/>
    <w:basedOn w:val="Normal"/>
    <w:next w:val="Normal"/>
    <w:qFormat/>
    <w:rsid w:val="008901C4"/>
    <w:pPr>
      <w:keepNext/>
      <w:spacing w:before="360" w:after="240"/>
      <w:jc w:val="center"/>
      <w:outlineLvl w:val="0"/>
    </w:pPr>
    <w:rPr>
      <w:b/>
      <w:sz w:val="28"/>
    </w:rPr>
  </w:style>
  <w:style w:type="paragraph" w:styleId="Heading2">
    <w:name w:val="heading 2"/>
    <w:basedOn w:val="Normal"/>
    <w:next w:val="Normal"/>
    <w:qFormat/>
    <w:rsid w:val="008901C4"/>
    <w:pPr>
      <w:keepNext/>
      <w:spacing w:before="240" w:after="120"/>
      <w:ind w:left="284" w:hanging="284"/>
      <w:outlineLvl w:val="1"/>
    </w:pPr>
    <w:rPr>
      <w:b/>
    </w:rPr>
  </w:style>
  <w:style w:type="paragraph" w:styleId="Heading3">
    <w:name w:val="heading 3"/>
    <w:basedOn w:val="Normal"/>
    <w:next w:val="Normal"/>
    <w:qFormat/>
    <w:rsid w:val="008901C4"/>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901C4"/>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8901C4"/>
  </w:style>
  <w:style w:type="paragraph" w:customStyle="1" w:styleId="JuPara">
    <w:name w:val="Ju_Para"/>
    <w:aliases w:val="Left,First line:  0 cm"/>
    <w:basedOn w:val="Normal"/>
    <w:link w:val="JuParaChar"/>
    <w:rsid w:val="008901C4"/>
    <w:pPr>
      <w:ind w:firstLine="284"/>
      <w:jc w:val="both"/>
    </w:pPr>
  </w:style>
  <w:style w:type="paragraph" w:customStyle="1" w:styleId="JuHIRoman">
    <w:name w:val="Ju_H_I_Roman"/>
    <w:basedOn w:val="JuHHead"/>
    <w:next w:val="JuPara"/>
    <w:rsid w:val="008901C4"/>
    <w:pPr>
      <w:tabs>
        <w:tab w:val="left" w:pos="357"/>
      </w:tabs>
      <w:spacing w:before="360"/>
      <w:ind w:left="357" w:hanging="357"/>
    </w:pPr>
    <w:rPr>
      <w:sz w:val="24"/>
    </w:rPr>
  </w:style>
  <w:style w:type="paragraph" w:customStyle="1" w:styleId="JuHHead">
    <w:name w:val="Ju_H_Head"/>
    <w:basedOn w:val="Normal"/>
    <w:next w:val="JuPara"/>
    <w:rsid w:val="008901C4"/>
    <w:pPr>
      <w:keepNext/>
      <w:keepLines/>
      <w:spacing w:before="720" w:after="240"/>
      <w:jc w:val="both"/>
    </w:pPr>
    <w:rPr>
      <w:sz w:val="28"/>
    </w:rPr>
  </w:style>
  <w:style w:type="paragraph" w:styleId="Footer">
    <w:name w:val="footer"/>
    <w:basedOn w:val="Normal"/>
    <w:rsid w:val="008901C4"/>
    <w:pPr>
      <w:tabs>
        <w:tab w:val="center" w:pos="3686"/>
        <w:tab w:val="right" w:pos="7371"/>
      </w:tabs>
    </w:pPr>
    <w:rPr>
      <w:sz w:val="18"/>
    </w:rPr>
  </w:style>
  <w:style w:type="paragraph" w:customStyle="1" w:styleId="JuJudges">
    <w:name w:val="Ju_Judges"/>
    <w:basedOn w:val="Normal"/>
    <w:link w:val="JuJudgesChar"/>
    <w:rsid w:val="008901C4"/>
    <w:pPr>
      <w:tabs>
        <w:tab w:val="left" w:pos="567"/>
        <w:tab w:val="left" w:pos="1134"/>
      </w:tabs>
    </w:pPr>
  </w:style>
  <w:style w:type="character" w:customStyle="1" w:styleId="JuNames">
    <w:name w:val="Ju_Names"/>
    <w:basedOn w:val="DefaultParagraphFont"/>
    <w:rsid w:val="008901C4"/>
    <w:rPr>
      <w:smallCaps/>
    </w:rPr>
  </w:style>
  <w:style w:type="paragraph" w:customStyle="1" w:styleId="JuHA">
    <w:name w:val="Ju_H_A"/>
    <w:basedOn w:val="JuHIRoman"/>
    <w:next w:val="JuPara"/>
    <w:rsid w:val="008901C4"/>
    <w:pPr>
      <w:tabs>
        <w:tab w:val="clear" w:pos="357"/>
        <w:tab w:val="left" w:pos="584"/>
      </w:tabs>
      <w:ind w:left="584" w:hanging="352"/>
    </w:pPr>
    <w:rPr>
      <w:b/>
    </w:rPr>
  </w:style>
  <w:style w:type="paragraph" w:customStyle="1" w:styleId="JuQuot">
    <w:name w:val="Ju_Quot"/>
    <w:basedOn w:val="JuPara"/>
    <w:rsid w:val="008901C4"/>
    <w:pPr>
      <w:spacing w:before="120" w:after="120"/>
      <w:ind w:left="425" w:firstLine="142"/>
    </w:pPr>
    <w:rPr>
      <w:sz w:val="20"/>
    </w:rPr>
  </w:style>
  <w:style w:type="paragraph" w:customStyle="1" w:styleId="JuSigned">
    <w:name w:val="Ju_Signed"/>
    <w:basedOn w:val="Normal"/>
    <w:next w:val="JuParaLast"/>
    <w:link w:val="JuSignedChar"/>
    <w:rsid w:val="008901C4"/>
    <w:pPr>
      <w:tabs>
        <w:tab w:val="center" w:pos="851"/>
        <w:tab w:val="center" w:pos="6407"/>
      </w:tabs>
      <w:spacing w:before="720"/>
    </w:pPr>
  </w:style>
  <w:style w:type="paragraph" w:customStyle="1" w:styleId="JuParaLast">
    <w:name w:val="Ju_Para_Last"/>
    <w:basedOn w:val="JuPara"/>
    <w:next w:val="JuPara"/>
    <w:rsid w:val="008901C4"/>
    <w:pPr>
      <w:keepNext/>
      <w:keepLines/>
      <w:spacing w:before="240"/>
    </w:pPr>
  </w:style>
  <w:style w:type="paragraph" w:customStyle="1" w:styleId="JuCase">
    <w:name w:val="Ju_Case"/>
    <w:basedOn w:val="JuPara"/>
    <w:next w:val="JuPara"/>
    <w:rsid w:val="008901C4"/>
    <w:rPr>
      <w:b/>
    </w:rPr>
  </w:style>
  <w:style w:type="paragraph" w:customStyle="1" w:styleId="JuList">
    <w:name w:val="Ju_List"/>
    <w:basedOn w:val="JuPara"/>
    <w:rsid w:val="008901C4"/>
    <w:pPr>
      <w:ind w:left="340" w:hanging="340"/>
    </w:pPr>
  </w:style>
  <w:style w:type="paragraph" w:customStyle="1" w:styleId="JuHArticle">
    <w:name w:val="Ju_H_Article"/>
    <w:basedOn w:val="JuHa0"/>
    <w:next w:val="JuQuot"/>
    <w:rsid w:val="008901C4"/>
    <w:pPr>
      <w:ind w:left="0" w:firstLine="0"/>
      <w:jc w:val="center"/>
    </w:pPr>
  </w:style>
  <w:style w:type="paragraph" w:customStyle="1" w:styleId="JuHa0">
    <w:name w:val="Ju_H_a"/>
    <w:basedOn w:val="JuH1"/>
    <w:next w:val="JuPara"/>
    <w:rsid w:val="008901C4"/>
    <w:pPr>
      <w:tabs>
        <w:tab w:val="clear" w:pos="731"/>
        <w:tab w:val="left" w:pos="975"/>
      </w:tabs>
      <w:ind w:left="975" w:hanging="340"/>
    </w:pPr>
    <w:rPr>
      <w:b/>
      <w:i w:val="0"/>
      <w:sz w:val="20"/>
    </w:rPr>
  </w:style>
  <w:style w:type="paragraph" w:customStyle="1" w:styleId="JuH1">
    <w:name w:val="Ju_H_1."/>
    <w:basedOn w:val="JuHA"/>
    <w:next w:val="JuPara"/>
    <w:rsid w:val="008901C4"/>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8901C4"/>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8901C4"/>
    <w:pPr>
      <w:jc w:val="both"/>
    </w:pPr>
    <w:rPr>
      <w:sz w:val="20"/>
    </w:rPr>
  </w:style>
  <w:style w:type="character" w:styleId="FootnoteReference">
    <w:name w:val="footnote reference"/>
    <w:basedOn w:val="DefaultParagraphFont"/>
    <w:semiHidden/>
    <w:rsid w:val="008901C4"/>
    <w:rPr>
      <w:vertAlign w:val="superscript"/>
    </w:rPr>
  </w:style>
  <w:style w:type="paragraph" w:customStyle="1" w:styleId="JuHi">
    <w:name w:val="Ju_H_i"/>
    <w:basedOn w:val="JuHa0"/>
    <w:next w:val="JuPara"/>
    <w:rsid w:val="008901C4"/>
    <w:pPr>
      <w:tabs>
        <w:tab w:val="clear" w:pos="975"/>
        <w:tab w:val="left" w:pos="1191"/>
      </w:tabs>
      <w:ind w:left="1190" w:hanging="357"/>
    </w:pPr>
    <w:rPr>
      <w:b w:val="0"/>
      <w:i/>
    </w:rPr>
  </w:style>
  <w:style w:type="paragraph" w:styleId="Header">
    <w:name w:val="header"/>
    <w:basedOn w:val="Normal"/>
    <w:rsid w:val="008901C4"/>
    <w:pPr>
      <w:tabs>
        <w:tab w:val="center" w:pos="3686"/>
        <w:tab w:val="right" w:pos="7371"/>
      </w:tabs>
    </w:pPr>
    <w:rPr>
      <w:sz w:val="18"/>
    </w:rPr>
  </w:style>
  <w:style w:type="character" w:styleId="PageNumber">
    <w:name w:val="page number"/>
    <w:basedOn w:val="DefaultParagraphFont"/>
    <w:rsid w:val="008901C4"/>
    <w:rPr>
      <w:sz w:val="18"/>
    </w:rPr>
  </w:style>
  <w:style w:type="paragraph" w:customStyle="1" w:styleId="JuH">
    <w:name w:val="Ju_H_–"/>
    <w:basedOn w:val="JuHalpha"/>
    <w:next w:val="JuPara"/>
    <w:rsid w:val="008901C4"/>
    <w:pPr>
      <w:tabs>
        <w:tab w:val="clear" w:pos="1372"/>
      </w:tabs>
      <w:ind w:left="1236" w:firstLine="0"/>
    </w:pPr>
    <w:rPr>
      <w:i/>
    </w:rPr>
  </w:style>
  <w:style w:type="paragraph" w:customStyle="1" w:styleId="JuHalpha">
    <w:name w:val="Ju_H_alpha"/>
    <w:basedOn w:val="JuHi"/>
    <w:next w:val="JuPara"/>
    <w:rsid w:val="008901C4"/>
    <w:pPr>
      <w:tabs>
        <w:tab w:val="clear" w:pos="1191"/>
        <w:tab w:val="left" w:pos="1372"/>
      </w:tabs>
      <w:ind w:left="1373" w:hanging="335"/>
    </w:pPr>
    <w:rPr>
      <w:i w:val="0"/>
    </w:rPr>
  </w:style>
  <w:style w:type="paragraph" w:customStyle="1" w:styleId="JuLista">
    <w:name w:val="Ju_List_a"/>
    <w:basedOn w:val="JuList"/>
    <w:rsid w:val="008901C4"/>
    <w:pPr>
      <w:ind w:left="346" w:firstLine="0"/>
    </w:pPr>
  </w:style>
  <w:style w:type="paragraph" w:customStyle="1" w:styleId="JuListi">
    <w:name w:val="Ju_List_i"/>
    <w:basedOn w:val="JuLista"/>
    <w:rsid w:val="008901C4"/>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8901C4"/>
    <w:pPr>
      <w:spacing w:before="0"/>
      <w:jc w:val="center"/>
    </w:pPr>
  </w:style>
  <w:style w:type="paragraph" w:customStyle="1" w:styleId="OpiPara">
    <w:name w:val="Opi_Para"/>
    <w:basedOn w:val="JuPara"/>
    <w:rsid w:val="008901C4"/>
  </w:style>
  <w:style w:type="paragraph" w:customStyle="1" w:styleId="OpiTranslation">
    <w:name w:val="Opi_Translation"/>
    <w:basedOn w:val="OpiHHead"/>
    <w:next w:val="OpiPara"/>
    <w:rsid w:val="008901C4"/>
    <w:rPr>
      <w:i/>
      <w:sz w:val="24"/>
    </w:rPr>
  </w:style>
  <w:style w:type="paragraph" w:customStyle="1" w:styleId="JuInitialled">
    <w:name w:val="Ju_Initialled"/>
    <w:basedOn w:val="JuSigned"/>
    <w:rsid w:val="008901C4"/>
    <w:pPr>
      <w:tabs>
        <w:tab w:val="clear" w:pos="851"/>
      </w:tabs>
      <w:jc w:val="right"/>
    </w:pPr>
  </w:style>
  <w:style w:type="paragraph" w:customStyle="1" w:styleId="JuHeader">
    <w:name w:val="Ju_Header"/>
    <w:basedOn w:val="Header"/>
    <w:rsid w:val="008901C4"/>
  </w:style>
  <w:style w:type="paragraph" w:customStyle="1" w:styleId="DecHTitle">
    <w:name w:val="Dec_H_Title"/>
    <w:basedOn w:val="Normal"/>
    <w:rsid w:val="008901C4"/>
    <w:pPr>
      <w:spacing w:after="240"/>
      <w:jc w:val="center"/>
    </w:pPr>
    <w:rPr>
      <w:sz w:val="28"/>
    </w:rPr>
  </w:style>
  <w:style w:type="paragraph" w:customStyle="1" w:styleId="DecHCase">
    <w:name w:val="Dec_H_Case"/>
    <w:basedOn w:val="DecHTitle"/>
    <w:next w:val="JuPara"/>
    <w:rsid w:val="008901C4"/>
    <w:rPr>
      <w:sz w:val="24"/>
    </w:rPr>
  </w:style>
  <w:style w:type="paragraph" w:customStyle="1" w:styleId="DecList">
    <w:name w:val="Dec_List"/>
    <w:basedOn w:val="Normal"/>
    <w:rsid w:val="008901C4"/>
    <w:pPr>
      <w:spacing w:before="240"/>
      <w:ind w:left="284"/>
      <w:jc w:val="both"/>
    </w:pPr>
  </w:style>
  <w:style w:type="paragraph" w:customStyle="1" w:styleId="JuParaSub">
    <w:name w:val="Ju_Para_Sub"/>
    <w:basedOn w:val="JuPara"/>
    <w:rsid w:val="008901C4"/>
    <w:pPr>
      <w:ind w:left="284"/>
    </w:pPr>
    <w:rPr>
      <w:szCs w:val="24"/>
    </w:rPr>
  </w:style>
  <w:style w:type="paragraph" w:customStyle="1" w:styleId="JuQuotSub">
    <w:name w:val="Ju_Quot_Sub"/>
    <w:basedOn w:val="JuQuot"/>
    <w:rsid w:val="008901C4"/>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8901C4"/>
    <w:pPr>
      <w:ind w:firstLine="284"/>
      <w:jc w:val="both"/>
    </w:pPr>
  </w:style>
  <w:style w:type="paragraph" w:customStyle="1" w:styleId="PJuQuot">
    <w:name w:val="P_Ju_Quot"/>
    <w:basedOn w:val="Normal"/>
    <w:rsid w:val="008901C4"/>
    <w:pPr>
      <w:spacing w:before="120" w:after="120"/>
      <w:ind w:left="403" w:firstLine="176"/>
      <w:jc w:val="both"/>
    </w:pPr>
    <w:rPr>
      <w:sz w:val="20"/>
    </w:rPr>
  </w:style>
  <w:style w:type="paragraph" w:customStyle="1" w:styleId="OpiHA">
    <w:name w:val="Opi_H_A"/>
    <w:basedOn w:val="JuHIRoman"/>
    <w:next w:val="OpiPara"/>
    <w:rsid w:val="008901C4"/>
    <w:pPr>
      <w:tabs>
        <w:tab w:val="clear" w:pos="357"/>
      </w:tabs>
    </w:pPr>
    <w:rPr>
      <w:b/>
    </w:rPr>
  </w:style>
  <w:style w:type="paragraph" w:customStyle="1" w:styleId="OpiH1">
    <w:name w:val="Opi_H_1."/>
    <w:basedOn w:val="OpiHA"/>
    <w:next w:val="OpiPara"/>
    <w:rsid w:val="008901C4"/>
    <w:pPr>
      <w:spacing w:before="240" w:after="120"/>
      <w:ind w:left="635"/>
    </w:pPr>
    <w:rPr>
      <w:b w:val="0"/>
      <w:i/>
    </w:rPr>
  </w:style>
  <w:style w:type="paragraph" w:customStyle="1" w:styleId="OpiHa0">
    <w:name w:val="Opi_H_a"/>
    <w:basedOn w:val="OpiH1"/>
    <w:next w:val="OpiPara"/>
    <w:rsid w:val="008901C4"/>
    <w:pPr>
      <w:ind w:left="834"/>
    </w:pPr>
    <w:rPr>
      <w:b/>
      <w:i w:val="0"/>
      <w:sz w:val="20"/>
    </w:rPr>
  </w:style>
  <w:style w:type="paragraph" w:customStyle="1" w:styleId="OpiHi">
    <w:name w:val="Opi_H_i"/>
    <w:basedOn w:val="OpiHa0"/>
    <w:next w:val="OpiPara"/>
    <w:rsid w:val="008901C4"/>
    <w:pPr>
      <w:ind w:left="1038"/>
    </w:pPr>
    <w:rPr>
      <w:b w:val="0"/>
      <w:i/>
    </w:rPr>
  </w:style>
  <w:style w:type="paragraph" w:customStyle="1" w:styleId="PListArticleSubject">
    <w:name w:val="P_List_ArticleSubject"/>
    <w:basedOn w:val="Normal"/>
    <w:rsid w:val="008901C4"/>
    <w:pPr>
      <w:tabs>
        <w:tab w:val="left" w:pos="2977"/>
      </w:tabs>
      <w:ind w:left="2977" w:hanging="2977"/>
    </w:pPr>
  </w:style>
  <w:style w:type="paragraph" w:customStyle="1" w:styleId="OpiQuot">
    <w:name w:val="Opi_Quot"/>
    <w:basedOn w:val="JuQuot"/>
    <w:rsid w:val="008901C4"/>
  </w:style>
  <w:style w:type="paragraph" w:customStyle="1" w:styleId="SuCoverTitle1">
    <w:name w:val="Su_Cover_Title1"/>
    <w:basedOn w:val="Normal"/>
    <w:next w:val="SuCoverTitle2"/>
    <w:rsid w:val="008901C4"/>
    <w:pPr>
      <w:spacing w:before="2500"/>
      <w:jc w:val="center"/>
    </w:pPr>
    <w:rPr>
      <w:sz w:val="22"/>
    </w:rPr>
  </w:style>
  <w:style w:type="paragraph" w:customStyle="1" w:styleId="SuCoverTitle2">
    <w:name w:val="Su_Cover_Title2"/>
    <w:basedOn w:val="SuCoverTitle1"/>
    <w:next w:val="Normal"/>
    <w:rsid w:val="008901C4"/>
    <w:pPr>
      <w:spacing w:before="240"/>
    </w:pPr>
    <w:rPr>
      <w:sz w:val="18"/>
    </w:rPr>
  </w:style>
  <w:style w:type="paragraph" w:customStyle="1" w:styleId="SuPara">
    <w:name w:val="Su_Para"/>
    <w:basedOn w:val="SuKeywords"/>
    <w:rsid w:val="008901C4"/>
    <w:pPr>
      <w:spacing w:before="0" w:after="0"/>
    </w:pPr>
    <w:rPr>
      <w:i w:val="0"/>
    </w:rPr>
  </w:style>
  <w:style w:type="paragraph" w:customStyle="1" w:styleId="SuKeywords">
    <w:name w:val="Su_Keywords"/>
    <w:basedOn w:val="SuHHead"/>
    <w:rsid w:val="008901C4"/>
    <w:pPr>
      <w:spacing w:before="120"/>
    </w:pPr>
    <w:rPr>
      <w:b w:val="0"/>
      <w:i/>
    </w:rPr>
  </w:style>
  <w:style w:type="paragraph" w:customStyle="1" w:styleId="SuHHead">
    <w:name w:val="Su_H_Head"/>
    <w:basedOn w:val="SuSubject"/>
    <w:rsid w:val="008901C4"/>
    <w:pPr>
      <w:spacing w:after="120"/>
    </w:pPr>
  </w:style>
  <w:style w:type="paragraph" w:customStyle="1" w:styleId="SuSubject">
    <w:name w:val="Su_Subject"/>
    <w:basedOn w:val="SuSummary"/>
    <w:rsid w:val="008901C4"/>
    <w:pPr>
      <w:spacing w:before="360"/>
      <w:jc w:val="both"/>
    </w:pPr>
    <w:rPr>
      <w:b/>
      <w:sz w:val="22"/>
    </w:rPr>
  </w:style>
  <w:style w:type="paragraph" w:customStyle="1" w:styleId="SuSummary">
    <w:name w:val="Su_Summary"/>
    <w:basedOn w:val="Normal"/>
    <w:next w:val="SuSubject"/>
    <w:rsid w:val="008901C4"/>
    <w:pPr>
      <w:spacing w:after="240"/>
      <w:jc w:val="center"/>
    </w:pPr>
  </w:style>
  <w:style w:type="paragraph" w:customStyle="1" w:styleId="PListCaseNo">
    <w:name w:val="P_List_CaseNo"/>
    <w:basedOn w:val="Normal"/>
    <w:rsid w:val="008901C4"/>
    <w:pPr>
      <w:tabs>
        <w:tab w:val="left" w:pos="1276"/>
      </w:tabs>
      <w:spacing w:line="288" w:lineRule="auto"/>
      <w:ind w:left="1276" w:hanging="1276"/>
    </w:pPr>
  </w:style>
  <w:style w:type="paragraph" w:customStyle="1" w:styleId="PListCases">
    <w:name w:val="P_List_Cases"/>
    <w:basedOn w:val="Normal"/>
    <w:rsid w:val="008901C4"/>
    <w:pPr>
      <w:spacing w:line="288" w:lineRule="auto"/>
    </w:pPr>
  </w:style>
  <w:style w:type="paragraph" w:customStyle="1" w:styleId="PTextIntro">
    <w:name w:val="P_Text_Intro"/>
    <w:basedOn w:val="Normal"/>
    <w:rsid w:val="008901C4"/>
    <w:pPr>
      <w:jc w:val="both"/>
    </w:pPr>
    <w:rPr>
      <w:i/>
      <w:sz w:val="20"/>
    </w:rPr>
  </w:style>
  <w:style w:type="paragraph" w:customStyle="1" w:styleId="PTitleCover">
    <w:name w:val="P_Title_Cover"/>
    <w:basedOn w:val="Normal"/>
    <w:rsid w:val="008901C4"/>
    <w:pPr>
      <w:spacing w:before="2500"/>
      <w:jc w:val="center"/>
    </w:pPr>
    <w:rPr>
      <w:b/>
      <w:smallCaps/>
      <w:sz w:val="30"/>
    </w:rPr>
  </w:style>
  <w:style w:type="paragraph" w:customStyle="1" w:styleId="PTitle1Alpha">
    <w:name w:val="P_Title1_Alpha"/>
    <w:basedOn w:val="Normal"/>
    <w:next w:val="Normal"/>
    <w:rsid w:val="008901C4"/>
    <w:pPr>
      <w:spacing w:after="120"/>
      <w:jc w:val="center"/>
    </w:pPr>
    <w:rPr>
      <w:b/>
      <w:smallCaps/>
      <w:sz w:val="30"/>
    </w:rPr>
  </w:style>
  <w:style w:type="paragraph" w:customStyle="1" w:styleId="PTitle1IndexArticle">
    <w:name w:val="P_Title1_IndexArticle"/>
    <w:basedOn w:val="Normal"/>
    <w:rsid w:val="008901C4"/>
    <w:pPr>
      <w:spacing w:after="120"/>
      <w:jc w:val="center"/>
    </w:pPr>
    <w:rPr>
      <w:b/>
      <w:smallCaps/>
      <w:sz w:val="30"/>
    </w:rPr>
  </w:style>
  <w:style w:type="paragraph" w:customStyle="1" w:styleId="PTitle1IndexKey">
    <w:name w:val="P_Title1_IndexKey"/>
    <w:basedOn w:val="Normal"/>
    <w:rsid w:val="008901C4"/>
    <w:pPr>
      <w:spacing w:after="600"/>
      <w:jc w:val="center"/>
    </w:pPr>
    <w:rPr>
      <w:b/>
      <w:smallCaps/>
      <w:sz w:val="30"/>
    </w:rPr>
  </w:style>
  <w:style w:type="paragraph" w:customStyle="1" w:styleId="PTitle1Num">
    <w:name w:val="P_Title1_Num"/>
    <w:basedOn w:val="Normal"/>
    <w:next w:val="PListCaseNo"/>
    <w:rsid w:val="008901C4"/>
    <w:pPr>
      <w:spacing w:after="720"/>
      <w:jc w:val="center"/>
    </w:pPr>
    <w:rPr>
      <w:b/>
      <w:smallCaps/>
      <w:sz w:val="30"/>
    </w:rPr>
  </w:style>
  <w:style w:type="paragraph" w:customStyle="1" w:styleId="PTitle2Country">
    <w:name w:val="P_Title2_Country"/>
    <w:basedOn w:val="Normal"/>
    <w:next w:val="PListCases"/>
    <w:rsid w:val="008901C4"/>
    <w:pPr>
      <w:keepNext/>
      <w:keepLines/>
      <w:spacing w:before="600" w:after="360"/>
    </w:pPr>
    <w:rPr>
      <w:b/>
    </w:rPr>
  </w:style>
  <w:style w:type="paragraph" w:customStyle="1" w:styleId="PTitle2Letters">
    <w:name w:val="P_Title2_Letters"/>
    <w:basedOn w:val="Normal"/>
    <w:next w:val="PListCases"/>
    <w:rsid w:val="008901C4"/>
    <w:pPr>
      <w:keepNext/>
      <w:keepLines/>
      <w:spacing w:before="600" w:after="360"/>
    </w:pPr>
    <w:rPr>
      <w:b/>
      <w:sz w:val="28"/>
    </w:rPr>
  </w:style>
  <w:style w:type="paragraph" w:customStyle="1" w:styleId="PTitle2Part">
    <w:name w:val="P_Title2_Part"/>
    <w:basedOn w:val="Normal"/>
    <w:rsid w:val="008901C4"/>
    <w:pPr>
      <w:keepNext/>
      <w:keepLines/>
      <w:spacing w:before="600" w:after="240"/>
      <w:jc w:val="center"/>
    </w:pPr>
    <w:rPr>
      <w:b/>
      <w:caps/>
    </w:rPr>
  </w:style>
  <w:style w:type="paragraph" w:customStyle="1" w:styleId="PTitle3Article">
    <w:name w:val="P_Title3_Article"/>
    <w:basedOn w:val="Normal"/>
    <w:rsid w:val="008901C4"/>
    <w:pPr>
      <w:keepNext/>
      <w:keepLines/>
      <w:spacing w:before="360" w:after="120"/>
      <w:jc w:val="center"/>
    </w:pPr>
    <w:rPr>
      <w:b/>
      <w:smallCaps/>
      <w:sz w:val="22"/>
    </w:rPr>
  </w:style>
  <w:style w:type="paragraph" w:customStyle="1" w:styleId="PTitle4ArticleSub">
    <w:name w:val="P_Title4_Article_Sub"/>
    <w:basedOn w:val="PTitle3Article"/>
    <w:rsid w:val="008901C4"/>
    <w:pPr>
      <w:spacing w:before="240"/>
    </w:pPr>
    <w:rPr>
      <w:smallCaps w:val="0"/>
      <w:sz w:val="20"/>
    </w:rPr>
  </w:style>
  <w:style w:type="paragraph" w:customStyle="1" w:styleId="PTitle5Subject">
    <w:name w:val="P_Title5_Subject"/>
    <w:basedOn w:val="Normal"/>
    <w:rsid w:val="008901C4"/>
    <w:pPr>
      <w:keepNext/>
      <w:keepLines/>
      <w:spacing w:before="240" w:after="120"/>
      <w:jc w:val="both"/>
    </w:pPr>
    <w:rPr>
      <w:b/>
      <w:i/>
    </w:rPr>
  </w:style>
  <w:style w:type="paragraph" w:customStyle="1" w:styleId="PTitle6SubjectSub">
    <w:name w:val="P_Title6_Subject_Sub"/>
    <w:basedOn w:val="Normal"/>
    <w:rsid w:val="008901C4"/>
    <w:pPr>
      <w:keepNext/>
      <w:keepLines/>
      <w:spacing w:before="240" w:after="120"/>
      <w:ind w:left="284"/>
      <w:jc w:val="both"/>
    </w:pPr>
    <w:rPr>
      <w:b/>
      <w:sz w:val="20"/>
    </w:rPr>
  </w:style>
  <w:style w:type="paragraph" w:customStyle="1" w:styleId="PTitle7CaseName">
    <w:name w:val="P_Title7_CaseName"/>
    <w:basedOn w:val="Normal"/>
    <w:rsid w:val="008901C4"/>
    <w:pPr>
      <w:keepLines/>
      <w:spacing w:after="240"/>
      <w:jc w:val="right"/>
    </w:pPr>
    <w:rPr>
      <w:sz w:val="22"/>
    </w:rPr>
  </w:style>
  <w:style w:type="paragraph" w:customStyle="1" w:styleId="OpiParaSub">
    <w:name w:val="Opi_Para_Sub"/>
    <w:basedOn w:val="JuParaSub"/>
    <w:rsid w:val="008901C4"/>
  </w:style>
  <w:style w:type="paragraph" w:customStyle="1" w:styleId="OpiQuotSub">
    <w:name w:val="Opi_Quot_Sub"/>
    <w:basedOn w:val="JuQuotSub"/>
    <w:rsid w:val="008901C4"/>
  </w:style>
  <w:style w:type="character" w:customStyle="1" w:styleId="JuSignedChar">
    <w:name w:val="Ju_Signed Char"/>
    <w:basedOn w:val="DefaultParagraphFont"/>
    <w:link w:val="JuSigned"/>
    <w:rsid w:val="000E4CBF"/>
    <w:rPr>
      <w:sz w:val="24"/>
      <w:lang w:val="en-GB" w:eastAsia="fr-FR" w:bidi="ar-SA"/>
    </w:rPr>
  </w:style>
  <w:style w:type="paragraph" w:customStyle="1" w:styleId="NormalJustified">
    <w:name w:val="Normal_Justified"/>
    <w:basedOn w:val="Normal"/>
    <w:rsid w:val="008901C4"/>
    <w:pPr>
      <w:jc w:val="both"/>
    </w:pPr>
  </w:style>
  <w:style w:type="character" w:customStyle="1" w:styleId="JuJudgesChar">
    <w:name w:val="Ju_Judges Char"/>
    <w:basedOn w:val="DefaultParagraphFont"/>
    <w:link w:val="JuJudges"/>
    <w:rsid w:val="00DB26CC"/>
    <w:rPr>
      <w:sz w:val="24"/>
      <w:lang w:val="en-GB" w:eastAsia="fr-FR" w:bidi="ar-SA"/>
    </w:rPr>
  </w:style>
  <w:style w:type="character" w:styleId="Hyperlink">
    <w:name w:val="Hyperlink"/>
    <w:basedOn w:val="DefaultParagraphFont"/>
    <w:rsid w:val="00627CB0"/>
    <w:rPr>
      <w:color w:val="0000FF"/>
      <w:u w:val="single"/>
    </w:rPr>
  </w:style>
  <w:style w:type="character" w:customStyle="1" w:styleId="JuParaChar">
    <w:name w:val="Ju_Para Char"/>
    <w:basedOn w:val="DefaultParagraphFont"/>
    <w:link w:val="JuPara"/>
    <w:rsid w:val="00861B2E"/>
    <w:rPr>
      <w:sz w:val="24"/>
      <w:lang w:val="en-GB" w:eastAsia="fr-FR" w:bidi="ar-SA"/>
    </w:rPr>
  </w:style>
  <w:style w:type="character" w:customStyle="1" w:styleId="ju-005fpara--char">
    <w:name w:val="ju-005fpara--char"/>
    <w:basedOn w:val="DefaultParagraphFont"/>
    <w:rsid w:val="00315F8D"/>
  </w:style>
  <w:style w:type="character" w:customStyle="1" w:styleId="JuParaCar">
    <w:name w:val="Ju_Para Car"/>
    <w:basedOn w:val="DefaultParagraphFont"/>
    <w:rsid w:val="00715623"/>
    <w:rPr>
      <w:sz w:val="24"/>
      <w:lang w:val="en-GB" w:eastAsia="fr-FR" w:bidi="ar-SA"/>
    </w:rPr>
  </w:style>
  <w:style w:type="paragraph" w:customStyle="1" w:styleId="JuHIRomanChar">
    <w:name w:val="Ju_H_I_Roman Char"/>
    <w:basedOn w:val="JuHHead"/>
    <w:next w:val="JuPara"/>
    <w:link w:val="JuHIRomanCharChar"/>
    <w:rsid w:val="006A43F6"/>
    <w:pPr>
      <w:tabs>
        <w:tab w:val="left" w:pos="357"/>
      </w:tabs>
      <w:spacing w:before="360"/>
      <w:ind w:left="357" w:hanging="357"/>
    </w:pPr>
    <w:rPr>
      <w:sz w:val="24"/>
    </w:rPr>
  </w:style>
  <w:style w:type="character" w:customStyle="1" w:styleId="JuHIRomanCharChar">
    <w:name w:val="Ju_H_I_Roman Char Char"/>
    <w:basedOn w:val="DefaultParagraphFont"/>
    <w:link w:val="JuHIRomanChar"/>
    <w:rsid w:val="006A43F6"/>
    <w:rPr>
      <w:sz w:val="24"/>
      <w:lang w:val="en-GB" w:eastAsia="fr-FR" w:bidi="ar-SA"/>
    </w:rPr>
  </w:style>
  <w:style w:type="character" w:customStyle="1" w:styleId="ju-005fpara-0020char1-0020char--char">
    <w:name w:val="ju-005fpara-0020char1-0020char--char"/>
    <w:basedOn w:val="DefaultParagraphFont"/>
    <w:rsid w:val="00735EE5"/>
  </w:style>
  <w:style w:type="paragraph" w:customStyle="1" w:styleId="JuParaChar1Char">
    <w:name w:val="Ju_Para Char1 Char"/>
    <w:basedOn w:val="Normal"/>
    <w:link w:val="JuParaChar1CharChar"/>
    <w:rsid w:val="00A03311"/>
    <w:pPr>
      <w:ind w:firstLine="284"/>
      <w:jc w:val="both"/>
    </w:pPr>
  </w:style>
  <w:style w:type="character" w:customStyle="1" w:styleId="JuParaChar1CharChar">
    <w:name w:val="Ju_Para Char1 Char Char"/>
    <w:basedOn w:val="DefaultParagraphFont"/>
    <w:link w:val="JuParaChar1Char"/>
    <w:rsid w:val="00A03311"/>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53A19-A7A6-4A64-8A70-DD4DA6A3A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B5934B-56B2-4E02-8302-D90CE1941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6972</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8</cp:revision>
  <cp:lastPrinted>2010-07-05T15:30:00Z</cp:lastPrinted>
  <dcterms:created xsi:type="dcterms:W3CDTF">2012-06-21T13:23:00Z</dcterms:created>
  <dcterms:modified xsi:type="dcterms:W3CDTF">2012-06-21T13:23:00Z</dcterms:modified>
  <cp:category>ECHR Template</cp:category>
</cp:coreProperties>
</file>