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F2" w:rsidRPr="00C66B06" w:rsidRDefault="009202F2" w:rsidP="0068104D">
      <w:pPr>
        <w:jc w:val="center"/>
        <w:rPr>
          <w:b/>
          <w:snapToGrid w:val="0"/>
          <w:szCs w:val="24"/>
          <w:lang w:eastAsia="en-US"/>
        </w:rPr>
      </w:pPr>
    </w:p>
    <w:p w:rsidR="009202F2" w:rsidRPr="00C66B06" w:rsidRDefault="009202F2" w:rsidP="0068104D">
      <w:pPr>
        <w:jc w:val="center"/>
        <w:rPr>
          <w:b/>
          <w:snapToGrid w:val="0"/>
          <w:szCs w:val="24"/>
          <w:lang w:eastAsia="en-US"/>
        </w:rPr>
      </w:pPr>
    </w:p>
    <w:p w:rsidR="00EC6427" w:rsidRPr="00577670" w:rsidRDefault="00EC6427" w:rsidP="0068104D">
      <w:pPr>
        <w:jc w:val="center"/>
      </w:pPr>
    </w:p>
    <w:p w:rsidR="00EC6427" w:rsidRPr="000E496D" w:rsidRDefault="000E496D" w:rsidP="0068104D">
      <w:pPr>
        <w:jc w:val="center"/>
      </w:pPr>
      <w:r w:rsidRPr="000E496D">
        <w:t>PREMIÈRE SECTION</w:t>
      </w:r>
    </w:p>
    <w:p w:rsidR="009202F2" w:rsidRDefault="009202F2" w:rsidP="0068104D">
      <w:pPr>
        <w:jc w:val="center"/>
      </w:pPr>
    </w:p>
    <w:p w:rsidR="009202F2" w:rsidRDefault="009202F2" w:rsidP="0068104D">
      <w:pPr>
        <w:jc w:val="center"/>
      </w:pPr>
    </w:p>
    <w:p w:rsidR="009202F2" w:rsidRDefault="009202F2" w:rsidP="0068104D">
      <w:pPr>
        <w:jc w:val="center"/>
      </w:pPr>
    </w:p>
    <w:p w:rsidR="009202F2" w:rsidRDefault="009202F2" w:rsidP="0068104D">
      <w:pPr>
        <w:jc w:val="center"/>
      </w:pPr>
    </w:p>
    <w:p w:rsidR="00EC6427" w:rsidRPr="000E496D" w:rsidRDefault="00EC6427" w:rsidP="0068104D">
      <w:pPr>
        <w:jc w:val="center"/>
      </w:pPr>
    </w:p>
    <w:p w:rsidR="00EC6427" w:rsidRPr="000E496D" w:rsidRDefault="00EC6427" w:rsidP="0068104D">
      <w:pPr>
        <w:jc w:val="center"/>
        <w:rPr>
          <w:b/>
        </w:rPr>
      </w:pPr>
      <w:bookmarkStart w:id="0" w:name="To"/>
      <w:r w:rsidRPr="000E496D">
        <w:rPr>
          <w:b/>
        </w:rPr>
        <w:t xml:space="preserve">AFFAIRE </w:t>
      </w:r>
      <w:bookmarkEnd w:id="0"/>
      <w:r w:rsidR="000E496D" w:rsidRPr="000E496D">
        <w:rPr>
          <w:b/>
        </w:rPr>
        <w:t>SAMPANI ET AUTRES c. GRÈCE</w:t>
      </w:r>
    </w:p>
    <w:p w:rsidR="00EC6427" w:rsidRPr="000E496D" w:rsidRDefault="00EC6427" w:rsidP="0068104D">
      <w:pPr>
        <w:jc w:val="center"/>
      </w:pPr>
    </w:p>
    <w:p w:rsidR="009202F2" w:rsidRDefault="00EC6427" w:rsidP="009202F2">
      <w:pPr>
        <w:jc w:val="center"/>
        <w:rPr>
          <w:i/>
        </w:rPr>
      </w:pPr>
      <w:r w:rsidRPr="000E496D">
        <w:rPr>
          <w:i/>
        </w:rPr>
        <w:t>(</w:t>
      </w:r>
      <w:r w:rsidR="000E496D" w:rsidRPr="000E496D">
        <w:rPr>
          <w:i/>
        </w:rPr>
        <w:t>Requête n</w:t>
      </w:r>
      <w:r w:rsidR="000E496D" w:rsidRPr="000E496D">
        <w:rPr>
          <w:i/>
          <w:vertAlign w:val="superscript"/>
        </w:rPr>
        <w:t>o</w:t>
      </w:r>
      <w:r w:rsidR="000E496D" w:rsidRPr="000E496D">
        <w:rPr>
          <w:i/>
        </w:rPr>
        <w:t xml:space="preserve"> 59608/09</w:t>
      </w:r>
      <w:r w:rsidRPr="000E496D">
        <w:rPr>
          <w:i/>
        </w:rPr>
        <w:t>)</w:t>
      </w:r>
    </w:p>
    <w:p w:rsidR="009202F2" w:rsidRDefault="009202F2" w:rsidP="009202F2">
      <w:pPr>
        <w:jc w:val="center"/>
        <w:rPr>
          <w:szCs w:val="24"/>
        </w:rPr>
      </w:pPr>
    </w:p>
    <w:p w:rsidR="009202F2" w:rsidRDefault="009202F2" w:rsidP="009202F2">
      <w:pPr>
        <w:jc w:val="center"/>
        <w:rPr>
          <w:szCs w:val="24"/>
        </w:rPr>
      </w:pPr>
    </w:p>
    <w:p w:rsidR="009202F2" w:rsidRDefault="009202F2" w:rsidP="009202F2">
      <w:pPr>
        <w:jc w:val="center"/>
        <w:rPr>
          <w:szCs w:val="24"/>
        </w:rPr>
      </w:pPr>
    </w:p>
    <w:p w:rsidR="009202F2" w:rsidRDefault="009202F2" w:rsidP="009202F2">
      <w:pPr>
        <w:jc w:val="center"/>
        <w:rPr>
          <w:szCs w:val="24"/>
        </w:rPr>
      </w:pPr>
    </w:p>
    <w:p w:rsidR="009202F2" w:rsidRDefault="009202F2" w:rsidP="009202F2">
      <w:pPr>
        <w:jc w:val="center"/>
        <w:rPr>
          <w:szCs w:val="24"/>
        </w:rPr>
      </w:pPr>
    </w:p>
    <w:p w:rsidR="00C66B06" w:rsidRDefault="00C66B06" w:rsidP="009202F2">
      <w:pPr>
        <w:jc w:val="center"/>
        <w:rPr>
          <w:szCs w:val="24"/>
        </w:rPr>
      </w:pPr>
    </w:p>
    <w:p w:rsidR="00C66B06" w:rsidRDefault="00C66B06" w:rsidP="009202F2">
      <w:pPr>
        <w:jc w:val="center"/>
        <w:rPr>
          <w:szCs w:val="24"/>
        </w:rPr>
      </w:pPr>
    </w:p>
    <w:p w:rsidR="009202F2" w:rsidRPr="009202F2" w:rsidRDefault="009202F2" w:rsidP="009202F2">
      <w:pPr>
        <w:jc w:val="center"/>
        <w:rPr>
          <w:szCs w:val="24"/>
        </w:rPr>
      </w:pPr>
      <w:r>
        <w:rPr>
          <w:szCs w:val="24"/>
        </w:rPr>
        <w:t>ARRÊT</w:t>
      </w:r>
    </w:p>
    <w:p w:rsidR="009202F2" w:rsidRDefault="009202F2" w:rsidP="0077322C">
      <w:pPr>
        <w:rPr>
          <w:szCs w:val="24"/>
        </w:rPr>
      </w:pPr>
    </w:p>
    <w:p w:rsidR="009202F2" w:rsidRDefault="009202F2" w:rsidP="009202F2">
      <w:pPr>
        <w:jc w:val="center"/>
        <w:rPr>
          <w:szCs w:val="24"/>
        </w:rPr>
      </w:pPr>
    </w:p>
    <w:p w:rsidR="009202F2" w:rsidRDefault="009202F2" w:rsidP="009202F2">
      <w:pPr>
        <w:jc w:val="center"/>
        <w:rPr>
          <w:szCs w:val="24"/>
        </w:rPr>
      </w:pPr>
      <w:r>
        <w:rPr>
          <w:szCs w:val="24"/>
        </w:rPr>
        <w:t>STRASBOURG</w:t>
      </w:r>
    </w:p>
    <w:p w:rsidR="009202F2" w:rsidRDefault="009202F2" w:rsidP="009202F2">
      <w:pPr>
        <w:jc w:val="center"/>
        <w:rPr>
          <w:szCs w:val="24"/>
        </w:rPr>
      </w:pPr>
    </w:p>
    <w:p w:rsidR="009202F2" w:rsidRDefault="009202F2" w:rsidP="009202F2">
      <w:pPr>
        <w:jc w:val="center"/>
        <w:rPr>
          <w:szCs w:val="24"/>
        </w:rPr>
      </w:pPr>
      <w:r>
        <w:rPr>
          <w:szCs w:val="24"/>
        </w:rPr>
        <w:t>11 décembre 2012</w:t>
      </w:r>
    </w:p>
    <w:p w:rsidR="009202F2" w:rsidRDefault="009202F2" w:rsidP="009202F2">
      <w:pPr>
        <w:jc w:val="center"/>
        <w:rPr>
          <w:szCs w:val="24"/>
        </w:rPr>
      </w:pPr>
    </w:p>
    <w:p w:rsidR="009202F2" w:rsidRDefault="009202F2" w:rsidP="009202F2">
      <w:pPr>
        <w:jc w:val="center"/>
        <w:rPr>
          <w:szCs w:val="24"/>
        </w:rPr>
      </w:pPr>
    </w:p>
    <w:p w:rsidR="00C419B2" w:rsidRDefault="00C419B2" w:rsidP="00C419B2">
      <w:pPr>
        <w:pStyle w:val="jucase0"/>
        <w:ind w:firstLine="0"/>
        <w:jc w:val="center"/>
        <w:rPr>
          <w:color w:val="FF0000"/>
          <w:sz w:val="28"/>
          <w:szCs w:val="28"/>
          <w:u w:val="single"/>
          <w:lang w:val="fr-FR"/>
        </w:rPr>
      </w:pPr>
      <w:r>
        <w:rPr>
          <w:color w:val="FF0000"/>
          <w:sz w:val="28"/>
          <w:szCs w:val="28"/>
          <w:u w:val="single"/>
          <w:lang w:val="fr-FR"/>
        </w:rPr>
        <w:t>DÉFINITIF</w:t>
      </w:r>
    </w:p>
    <w:p w:rsidR="00C419B2" w:rsidRDefault="00C419B2" w:rsidP="00C419B2">
      <w:pPr>
        <w:pStyle w:val="jupara0"/>
        <w:ind w:firstLine="0"/>
        <w:rPr>
          <w:color w:val="FF0000"/>
          <w:sz w:val="28"/>
          <w:szCs w:val="28"/>
          <w:lang w:val="fr-FR"/>
        </w:rPr>
      </w:pPr>
    </w:p>
    <w:p w:rsidR="00C419B2" w:rsidRDefault="00C419B2" w:rsidP="00C419B2">
      <w:pPr>
        <w:pStyle w:val="jupara0"/>
        <w:ind w:firstLine="0"/>
        <w:jc w:val="center"/>
        <w:rPr>
          <w:color w:val="FF0000"/>
          <w:sz w:val="28"/>
          <w:szCs w:val="28"/>
          <w:lang w:val="fr-FR"/>
        </w:rPr>
      </w:pPr>
      <w:r>
        <w:rPr>
          <w:color w:val="FF0000"/>
          <w:sz w:val="28"/>
          <w:szCs w:val="28"/>
          <w:lang w:val="fr-FR"/>
        </w:rPr>
        <w:t>29/04/2013</w:t>
      </w:r>
    </w:p>
    <w:p w:rsidR="00C419B2" w:rsidRDefault="00C419B2" w:rsidP="00C419B2">
      <w:pPr>
        <w:jc w:val="center"/>
        <w:rPr>
          <w:u w:val="single"/>
        </w:rPr>
      </w:pPr>
    </w:p>
    <w:p w:rsidR="00CB7DFD" w:rsidRPr="000E496D" w:rsidRDefault="00C419B2" w:rsidP="00C419B2">
      <w:pPr>
        <w:jc w:val="both"/>
        <w:rPr>
          <w:szCs w:val="24"/>
        </w:rPr>
      </w:pPr>
      <w:r>
        <w:rPr>
          <w:i/>
          <w:iCs/>
          <w:sz w:val="22"/>
          <w:szCs w:val="22"/>
        </w:rPr>
        <w:t>Cet arrêt est devenu définitif en vertu de l’article 44 § 2 de la Convention. Il peut subir des retouches de forme.</w:t>
      </w:r>
    </w:p>
    <w:p w:rsidR="009202F2" w:rsidRDefault="009202F2" w:rsidP="0068104D">
      <w:pPr>
        <w:pStyle w:val="JuCase"/>
        <w:sectPr w:rsidR="009202F2" w:rsidSect="009202F2">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EC6427" w:rsidRPr="000E496D" w:rsidRDefault="00EC6427" w:rsidP="0068104D">
      <w:pPr>
        <w:pStyle w:val="JuCase"/>
      </w:pPr>
      <w:r w:rsidRPr="000E496D">
        <w:t>En l</w:t>
      </w:r>
      <w:r w:rsidR="00C419B2">
        <w:t>’</w:t>
      </w:r>
      <w:r w:rsidRPr="000E496D">
        <w:t xml:space="preserve">affaire </w:t>
      </w:r>
      <w:r w:rsidR="000E496D" w:rsidRPr="000E496D">
        <w:t>Sampani et autres c. Grèce</w:t>
      </w:r>
      <w:r w:rsidRPr="000E496D">
        <w:t>,</w:t>
      </w:r>
    </w:p>
    <w:p w:rsidR="00362D1F" w:rsidRPr="000E496D" w:rsidRDefault="00EC6427" w:rsidP="0068104D">
      <w:pPr>
        <w:pStyle w:val="JuPara"/>
      </w:pPr>
      <w:r w:rsidRPr="000E496D">
        <w:t xml:space="preserve">La Cour européenne des </w:t>
      </w:r>
      <w:r w:rsidR="00445E54" w:rsidRPr="000E496D">
        <w:t>d</w:t>
      </w:r>
      <w:r w:rsidRPr="000E496D">
        <w:t>roits de l</w:t>
      </w:r>
      <w:r w:rsidR="00C419B2">
        <w:t>’</w:t>
      </w:r>
      <w:r w:rsidR="00445E54" w:rsidRPr="000E496D">
        <w:t>h</w:t>
      </w:r>
      <w:r w:rsidRPr="000E496D">
        <w:t>omme</w:t>
      </w:r>
      <w:r w:rsidR="00DE593D" w:rsidRPr="000E496D">
        <w:t xml:space="preserve"> (</w:t>
      </w:r>
      <w:r w:rsidR="000E496D" w:rsidRPr="000E496D">
        <w:t>première section</w:t>
      </w:r>
      <w:r w:rsidR="00DE593D" w:rsidRPr="000E496D">
        <w:t>)</w:t>
      </w:r>
      <w:r w:rsidRPr="000E496D">
        <w:t xml:space="preserve">, siégeant en </w:t>
      </w:r>
      <w:r w:rsidR="000E496D" w:rsidRPr="000E496D">
        <w:t>une chambre composée</w:t>
      </w:r>
      <w:r w:rsidR="004702BA" w:rsidRPr="000E496D">
        <w:t xml:space="preserve"> </w:t>
      </w:r>
      <w:r w:rsidR="00362D1F" w:rsidRPr="000E496D">
        <w:t>de :</w:t>
      </w:r>
    </w:p>
    <w:p w:rsidR="0009234F" w:rsidRPr="000E496D" w:rsidRDefault="009202F2" w:rsidP="0068104D">
      <w:pPr>
        <w:pStyle w:val="JuJudges"/>
      </w:pPr>
      <w:r w:rsidRPr="009202F2">
        <w:tab/>
        <w:t>Isabelle</w:t>
      </w:r>
      <w:r>
        <w:t xml:space="preserve"> </w:t>
      </w:r>
      <w:r w:rsidRPr="009202F2">
        <w:t>Berro-Lefèvre</w:t>
      </w:r>
      <w:r>
        <w:t>,</w:t>
      </w:r>
      <w:r w:rsidRPr="009202F2">
        <w:rPr>
          <w:i/>
        </w:rPr>
        <w:t xml:space="preserve"> présidente,</w:t>
      </w:r>
      <w:r>
        <w:rPr>
          <w:i/>
        </w:rPr>
        <w:br/>
      </w:r>
      <w:r w:rsidRPr="009202F2">
        <w:tab/>
        <w:t>Anatoly</w:t>
      </w:r>
      <w:r>
        <w:t xml:space="preserve"> </w:t>
      </w:r>
      <w:r w:rsidRPr="009202F2">
        <w:t>Kovler</w:t>
      </w:r>
      <w:r>
        <w:t>,</w:t>
      </w:r>
      <w:r>
        <w:rPr>
          <w:i/>
        </w:rPr>
        <w:br/>
      </w:r>
      <w:r w:rsidRPr="009202F2">
        <w:tab/>
        <w:t>Khanlar</w:t>
      </w:r>
      <w:r>
        <w:t xml:space="preserve"> </w:t>
      </w:r>
      <w:r w:rsidRPr="009202F2">
        <w:t>Hajiyev</w:t>
      </w:r>
      <w:r>
        <w:t>,</w:t>
      </w:r>
      <w:r>
        <w:rPr>
          <w:i/>
        </w:rPr>
        <w:br/>
      </w:r>
      <w:r w:rsidRPr="009202F2">
        <w:tab/>
        <w:t>Mirjana</w:t>
      </w:r>
      <w:r>
        <w:t xml:space="preserve"> </w:t>
      </w:r>
      <w:r w:rsidRPr="009202F2">
        <w:t>Lazarova Trajkovska</w:t>
      </w:r>
      <w:r>
        <w:t>,</w:t>
      </w:r>
      <w:r>
        <w:rPr>
          <w:i/>
        </w:rPr>
        <w:br/>
      </w:r>
      <w:r w:rsidRPr="009202F2">
        <w:tab/>
        <w:t>Julia</w:t>
      </w:r>
      <w:r>
        <w:t xml:space="preserve"> </w:t>
      </w:r>
      <w:r w:rsidRPr="009202F2">
        <w:t>Laffranque</w:t>
      </w:r>
      <w:r>
        <w:t>,</w:t>
      </w:r>
      <w:r>
        <w:rPr>
          <w:i/>
        </w:rPr>
        <w:br/>
      </w:r>
      <w:r w:rsidRPr="009202F2">
        <w:tab/>
        <w:t>Linos-Alexandre</w:t>
      </w:r>
      <w:r>
        <w:t xml:space="preserve"> </w:t>
      </w:r>
      <w:r w:rsidRPr="009202F2">
        <w:t>Sicilianos</w:t>
      </w:r>
      <w:r>
        <w:t>,</w:t>
      </w:r>
      <w:r>
        <w:rPr>
          <w:i/>
        </w:rPr>
        <w:br/>
      </w:r>
      <w:r w:rsidRPr="009202F2">
        <w:tab/>
        <w:t>Erik</w:t>
      </w:r>
      <w:r>
        <w:t xml:space="preserve"> </w:t>
      </w:r>
      <w:r w:rsidRPr="009202F2">
        <w:t>Møse</w:t>
      </w:r>
      <w:r>
        <w:t>,</w:t>
      </w:r>
      <w:r w:rsidRPr="009202F2">
        <w:rPr>
          <w:i/>
        </w:rPr>
        <w:t xml:space="preserve"> juges,</w:t>
      </w:r>
      <w:r w:rsidR="0009234F" w:rsidRPr="000E496D">
        <w:br/>
        <w:t>et</w:t>
      </w:r>
      <w:r w:rsidR="00AA7FB5">
        <w:t xml:space="preserve"> de André Wampach</w:t>
      </w:r>
      <w:r w:rsidR="004E3393" w:rsidRPr="000E496D">
        <w:t xml:space="preserve">, </w:t>
      </w:r>
      <w:r w:rsidR="000E496D" w:rsidRPr="000E496D">
        <w:rPr>
          <w:i/>
        </w:rPr>
        <w:t>greffier</w:t>
      </w:r>
      <w:r w:rsidR="000E496D" w:rsidRPr="000E496D">
        <w:rPr>
          <w:iCs/>
        </w:rPr>
        <w:t xml:space="preserve"> </w:t>
      </w:r>
      <w:r w:rsidR="00AA7FB5" w:rsidRPr="00AA7FB5">
        <w:rPr>
          <w:i/>
          <w:iCs/>
        </w:rPr>
        <w:t>adjoint</w:t>
      </w:r>
      <w:r w:rsidR="00AA7FB5">
        <w:rPr>
          <w:iCs/>
        </w:rPr>
        <w:t xml:space="preserve"> </w:t>
      </w:r>
      <w:r w:rsidR="000E496D" w:rsidRPr="000E496D">
        <w:rPr>
          <w:i/>
          <w:iCs/>
        </w:rPr>
        <w:t>d</w:t>
      </w:r>
      <w:r w:rsidR="000E496D" w:rsidRPr="000E496D">
        <w:rPr>
          <w:i/>
        </w:rPr>
        <w:t>e section</w:t>
      </w:r>
      <w:r w:rsidR="0009234F" w:rsidRPr="000E496D">
        <w:rPr>
          <w:i/>
        </w:rPr>
        <w:t>,</w:t>
      </w:r>
    </w:p>
    <w:p w:rsidR="00EC6427" w:rsidRPr="000E496D" w:rsidRDefault="00EC6427" w:rsidP="0068104D">
      <w:pPr>
        <w:pStyle w:val="JuPara"/>
      </w:pPr>
      <w:r w:rsidRPr="000E496D">
        <w:t xml:space="preserve">Après en avoir délibéré en chambre du conseil le </w:t>
      </w:r>
      <w:r w:rsidR="009202F2">
        <w:t>20 novembre 2012</w:t>
      </w:r>
      <w:r w:rsidRPr="000E496D">
        <w:t>,</w:t>
      </w:r>
    </w:p>
    <w:p w:rsidR="00EC6427" w:rsidRPr="000E496D" w:rsidRDefault="00EC6427" w:rsidP="0068104D">
      <w:pPr>
        <w:pStyle w:val="JuPara"/>
      </w:pPr>
      <w:r w:rsidRPr="000E496D">
        <w:t>Rend l</w:t>
      </w:r>
      <w:r w:rsidR="00C419B2">
        <w:t>’</w:t>
      </w:r>
      <w:r w:rsidRPr="000E496D">
        <w:t>arrêt que voici, adopté à cette date :</w:t>
      </w:r>
    </w:p>
    <w:p w:rsidR="00EC6427" w:rsidRPr="000E496D" w:rsidRDefault="00EC6427" w:rsidP="00B33C50">
      <w:pPr>
        <w:pStyle w:val="JuHHead"/>
      </w:pPr>
      <w:r w:rsidRPr="000E496D">
        <w:t>PROCÉDURE</w:t>
      </w:r>
    </w:p>
    <w:p w:rsidR="00B136CA" w:rsidRDefault="000E496D" w:rsidP="008D61D1">
      <w:pPr>
        <w:pStyle w:val="JuPara"/>
      </w:pPr>
      <w:r w:rsidRPr="000E496D">
        <w:fldChar w:fldCharType="begin"/>
      </w:r>
      <w:r w:rsidRPr="000E496D">
        <w:instrText xml:space="preserve"> SEQ level0 \*arabic </w:instrText>
      </w:r>
      <w:r w:rsidRPr="000E496D">
        <w:fldChar w:fldCharType="separate"/>
      </w:r>
      <w:r w:rsidR="00E555B3">
        <w:rPr>
          <w:noProof/>
        </w:rPr>
        <w:t>1</w:t>
      </w:r>
      <w:r w:rsidRPr="000E496D">
        <w:fldChar w:fldCharType="end"/>
      </w:r>
      <w:r w:rsidR="00EC6427" w:rsidRPr="000E496D">
        <w:t>.  A l</w:t>
      </w:r>
      <w:r w:rsidR="00C419B2">
        <w:t>’</w:t>
      </w:r>
      <w:r w:rsidR="00EC6427" w:rsidRPr="000E496D">
        <w:t>origine de l</w:t>
      </w:r>
      <w:r w:rsidR="00C419B2">
        <w:t>’</w:t>
      </w:r>
      <w:r w:rsidR="00EC6427" w:rsidRPr="000E496D">
        <w:t xml:space="preserve">affaire </w:t>
      </w:r>
      <w:r w:rsidRPr="000E496D">
        <w:t>se trouve une requête (n</w:t>
      </w:r>
      <w:r w:rsidR="009202F2" w:rsidRPr="009202F2">
        <w:rPr>
          <w:vertAlign w:val="superscript"/>
        </w:rPr>
        <w:t>o</w:t>
      </w:r>
      <w:r w:rsidRPr="000E496D">
        <w:t xml:space="preserve"> 59608/09) dirigée</w:t>
      </w:r>
      <w:r w:rsidR="00EC6427" w:rsidRPr="000E496D">
        <w:t xml:space="preserve"> contre </w:t>
      </w:r>
      <w:r w:rsidRPr="000E496D">
        <w:t>la République hellénique</w:t>
      </w:r>
      <w:r w:rsidR="00EC6427" w:rsidRPr="000E496D">
        <w:t xml:space="preserve"> et dont </w:t>
      </w:r>
      <w:r w:rsidR="00961FD6" w:rsidRPr="00A9768C">
        <w:t xml:space="preserve">cent </w:t>
      </w:r>
      <w:r w:rsidR="005509B0" w:rsidRPr="00A9768C">
        <w:t>quarante</w:t>
      </w:r>
      <w:r w:rsidR="00BD64F0" w:rsidRPr="00A9768C">
        <w:t xml:space="preserve"> </w:t>
      </w:r>
      <w:r w:rsidRPr="00A9768C">
        <w:t>ressortissants</w:t>
      </w:r>
      <w:r w:rsidRPr="000E496D">
        <w:t xml:space="preserve"> de cet Etat, </w:t>
      </w:r>
      <w:r w:rsidR="00961FD6">
        <w:t xml:space="preserve">dont les noms figurent en annexe </w:t>
      </w:r>
      <w:r w:rsidRPr="000E496D">
        <w:t>(« les requérants »), ont saisi la Cour le</w:t>
      </w:r>
      <w:r w:rsidR="00961FD6">
        <w:t xml:space="preserve"> 7 octobre 2009</w:t>
      </w:r>
      <w:r w:rsidR="00EC6427" w:rsidRPr="000E496D">
        <w:t xml:space="preserve"> en vertu de </w:t>
      </w:r>
      <w:r w:rsidRPr="000E496D">
        <w:t>l</w:t>
      </w:r>
      <w:r w:rsidR="00C419B2">
        <w:t>’</w:t>
      </w:r>
      <w:r w:rsidRPr="000E496D">
        <w:t>article 34</w:t>
      </w:r>
      <w:r w:rsidR="00EC6427" w:rsidRPr="000E496D">
        <w:t xml:space="preserve"> de la Convention de sauvegarde des </w:t>
      </w:r>
      <w:r w:rsidR="00445E54" w:rsidRPr="000E496D">
        <w:t>d</w:t>
      </w:r>
      <w:r w:rsidR="00EC6427" w:rsidRPr="000E496D">
        <w:t>roits de l</w:t>
      </w:r>
      <w:r w:rsidR="00C419B2">
        <w:t>’</w:t>
      </w:r>
      <w:r w:rsidR="00445E54" w:rsidRPr="000E496D">
        <w:t>h</w:t>
      </w:r>
      <w:r w:rsidR="00DC1AF9" w:rsidRPr="000E496D">
        <w:t>omme et des l</w:t>
      </w:r>
      <w:r w:rsidR="00EC6427" w:rsidRPr="000E496D">
        <w:t>ibertés fondamentales (« la Convention »).</w:t>
      </w:r>
    </w:p>
    <w:p w:rsidR="000E496D" w:rsidRDefault="000E496D" w:rsidP="00287191">
      <w:pPr>
        <w:pStyle w:val="JuPara"/>
      </w:pPr>
      <w:r w:rsidRPr="000E496D">
        <w:fldChar w:fldCharType="begin"/>
      </w:r>
      <w:r w:rsidRPr="000E496D">
        <w:instrText xml:space="preserve"> SEQ level0 \*arabic </w:instrText>
      </w:r>
      <w:r w:rsidRPr="000E496D">
        <w:fldChar w:fldCharType="separate"/>
      </w:r>
      <w:r w:rsidR="00E555B3">
        <w:rPr>
          <w:noProof/>
        </w:rPr>
        <w:t>2</w:t>
      </w:r>
      <w:r w:rsidRPr="000E496D">
        <w:fldChar w:fldCharType="end"/>
      </w:r>
      <w:r w:rsidR="00EC6427" w:rsidRPr="000E496D">
        <w:t>.  </w:t>
      </w:r>
      <w:r w:rsidRPr="000E496D">
        <w:t xml:space="preserve">Les requérants </w:t>
      </w:r>
      <w:r w:rsidR="00120281">
        <w:t>ont été</w:t>
      </w:r>
      <w:r w:rsidRPr="000E496D">
        <w:t xml:space="preserve"> représentés par </w:t>
      </w:r>
      <w:r w:rsidR="009A4473">
        <w:t xml:space="preserve">le </w:t>
      </w:r>
      <w:r w:rsidR="009A4473" w:rsidRPr="00704CB3">
        <w:t xml:space="preserve">Greek Helsinki Monitor, </w:t>
      </w:r>
      <w:r w:rsidR="009A4473">
        <w:t xml:space="preserve">une organisation non gouvernementale ayant son siège </w:t>
      </w:r>
      <w:r w:rsidR="009A4473" w:rsidRPr="00704CB3">
        <w:t>à Glyka Nera.</w:t>
      </w:r>
      <w:r w:rsidR="009A4473">
        <w:t xml:space="preserve"> </w:t>
      </w:r>
      <w:r w:rsidR="00EC6427" w:rsidRPr="000E496D">
        <w:t xml:space="preserve">Le gouvernement </w:t>
      </w:r>
      <w:r w:rsidRPr="000E496D">
        <w:t>grec</w:t>
      </w:r>
      <w:r w:rsidR="00EC6427" w:rsidRPr="000E496D">
        <w:t xml:space="preserve"> (« le Gouvernement ») </w:t>
      </w:r>
      <w:r w:rsidR="00120281">
        <w:t>a été</w:t>
      </w:r>
      <w:r w:rsidR="00EC6427" w:rsidRPr="000E496D">
        <w:t xml:space="preserve"> représenté par </w:t>
      </w:r>
      <w:r w:rsidR="009A4473">
        <w:t xml:space="preserve">les délégués de </w:t>
      </w:r>
      <w:r w:rsidR="00EC6427" w:rsidRPr="000E496D">
        <w:t xml:space="preserve">son agent, </w:t>
      </w:r>
      <w:r w:rsidR="00360943">
        <w:t>M</w:t>
      </w:r>
      <w:r w:rsidR="00360943" w:rsidRPr="00120281">
        <w:rPr>
          <w:vertAlign w:val="superscript"/>
        </w:rPr>
        <w:t>me</w:t>
      </w:r>
      <w:r w:rsidR="00360943">
        <w:t xml:space="preserve"> V. Pelekou, assesseure auprès du Conseil juridique de l</w:t>
      </w:r>
      <w:r w:rsidR="00C419B2">
        <w:t>’</w:t>
      </w:r>
      <w:r w:rsidR="00360943">
        <w:t>Etat, et M. I. Bakopoulos, auditeur auprès du Conseil juridique de l</w:t>
      </w:r>
      <w:r w:rsidR="00C419B2">
        <w:t>’</w:t>
      </w:r>
      <w:r w:rsidR="00360943">
        <w:t>Etat.</w:t>
      </w:r>
    </w:p>
    <w:p w:rsidR="00305449" w:rsidRPr="000E496D" w:rsidRDefault="000E496D" w:rsidP="00287191">
      <w:pPr>
        <w:pStyle w:val="JuPara"/>
      </w:pPr>
      <w:r w:rsidRPr="000E496D">
        <w:fldChar w:fldCharType="begin"/>
      </w:r>
      <w:r w:rsidRPr="000E496D">
        <w:instrText xml:space="preserve"> SEQ level0 \*arabic </w:instrText>
      </w:r>
      <w:r w:rsidRPr="000E496D">
        <w:fldChar w:fldCharType="separate"/>
      </w:r>
      <w:r w:rsidR="00E555B3">
        <w:rPr>
          <w:noProof/>
        </w:rPr>
        <w:t>3</w:t>
      </w:r>
      <w:r w:rsidRPr="000E496D">
        <w:fldChar w:fldCharType="end"/>
      </w:r>
      <w:r w:rsidR="009A4473">
        <w:t>.  </w:t>
      </w:r>
      <w:r w:rsidR="00120281">
        <w:t>Devant la Cour, l</w:t>
      </w:r>
      <w:r w:rsidR="009A4473">
        <w:t>es requérants all</w:t>
      </w:r>
      <w:r w:rsidR="00120281">
        <w:t>é</w:t>
      </w:r>
      <w:r w:rsidRPr="000E496D">
        <w:t>gu</w:t>
      </w:r>
      <w:r w:rsidR="00120281">
        <w:t>ai</w:t>
      </w:r>
      <w:r w:rsidRPr="000E496D">
        <w:t xml:space="preserve">ent en particulier </w:t>
      </w:r>
      <w:r w:rsidR="009A4473">
        <w:t>une violation de l</w:t>
      </w:r>
      <w:r w:rsidR="00C419B2">
        <w:t>’</w:t>
      </w:r>
      <w:r w:rsidR="009A4473">
        <w:t>article 14</w:t>
      </w:r>
      <w:r w:rsidR="00120281">
        <w:t xml:space="preserve"> de la Convention</w:t>
      </w:r>
      <w:r w:rsidR="009A4473">
        <w:t>, combiné avec l</w:t>
      </w:r>
      <w:r w:rsidR="00C419B2">
        <w:t>’</w:t>
      </w:r>
      <w:r w:rsidR="009A4473">
        <w:t>article 2 du Protocole n</w:t>
      </w:r>
      <w:r w:rsidR="009202F2" w:rsidRPr="009202F2">
        <w:rPr>
          <w:vertAlign w:val="superscript"/>
        </w:rPr>
        <w:t>o</w:t>
      </w:r>
      <w:r w:rsidR="009A4473">
        <w:t xml:space="preserve"> 1, et de l</w:t>
      </w:r>
      <w:r w:rsidR="00C419B2">
        <w:t>’</w:t>
      </w:r>
      <w:r w:rsidR="009A4473">
        <w:t>article 13 de la Convention.</w:t>
      </w:r>
    </w:p>
    <w:p w:rsidR="00EC6427" w:rsidRPr="000E496D" w:rsidRDefault="000E496D" w:rsidP="009A0A09">
      <w:pPr>
        <w:pStyle w:val="JuPara"/>
      </w:pPr>
      <w:r w:rsidRPr="000E496D">
        <w:fldChar w:fldCharType="begin"/>
      </w:r>
      <w:r w:rsidRPr="000E496D">
        <w:instrText xml:space="preserve"> SEQ level0 \*arabic </w:instrText>
      </w:r>
      <w:r w:rsidRPr="000E496D">
        <w:fldChar w:fldCharType="separate"/>
      </w:r>
      <w:r w:rsidR="00E555B3">
        <w:rPr>
          <w:noProof/>
        </w:rPr>
        <w:t>4</w:t>
      </w:r>
      <w:r w:rsidRPr="000E496D">
        <w:fldChar w:fldCharType="end"/>
      </w:r>
      <w:r w:rsidR="00EC6427" w:rsidRPr="000E496D">
        <w:t xml:space="preserve">.  Le </w:t>
      </w:r>
      <w:r w:rsidRPr="000E496D">
        <w:rPr>
          <w:szCs w:val="24"/>
        </w:rPr>
        <w:t>25 mars 2011</w:t>
      </w:r>
      <w:r w:rsidR="00EC6427" w:rsidRPr="000E496D">
        <w:t xml:space="preserve">, </w:t>
      </w:r>
      <w:r w:rsidRPr="000E496D">
        <w:t>la requête a</w:t>
      </w:r>
      <w:r w:rsidR="009F7286" w:rsidRPr="000E496D">
        <w:t xml:space="preserve"> été </w:t>
      </w:r>
      <w:r w:rsidRPr="000E496D">
        <w:t>communiquée</w:t>
      </w:r>
      <w:r w:rsidR="00CA1F58" w:rsidRPr="000E496D">
        <w:t xml:space="preserve"> </w:t>
      </w:r>
      <w:r w:rsidR="00EC6427" w:rsidRPr="000E496D">
        <w:t>au Gouvernement.</w:t>
      </w:r>
      <w:r w:rsidR="00752D87" w:rsidRPr="000E496D">
        <w:t xml:space="preserve"> </w:t>
      </w:r>
      <w:r w:rsidRPr="000E496D">
        <w:t>Comme le permet l</w:t>
      </w:r>
      <w:r w:rsidR="00C419B2">
        <w:t>’</w:t>
      </w:r>
      <w:r w:rsidRPr="000E496D">
        <w:t xml:space="preserve">article 29 § 1 de la Convention, il a en outre été décidé </w:t>
      </w:r>
      <w:r w:rsidRPr="000E496D">
        <w:rPr>
          <w:rStyle w:val="Strong"/>
          <w:b w:val="0"/>
        </w:rPr>
        <w:t>que</w:t>
      </w:r>
      <w:r w:rsidRPr="000E496D">
        <w:t xml:space="preserve"> la chambre se prononcerait en même temps sur la recevabilité et le fond</w:t>
      </w:r>
      <w:r w:rsidR="00120281">
        <w:t xml:space="preserve"> de l</w:t>
      </w:r>
      <w:r w:rsidR="00C419B2">
        <w:t>’</w:t>
      </w:r>
      <w:r w:rsidR="00120281">
        <w:t>affaire</w:t>
      </w:r>
      <w:r w:rsidRPr="000E496D">
        <w:t>.</w:t>
      </w:r>
    </w:p>
    <w:p w:rsidR="00EC6427" w:rsidRPr="000E496D" w:rsidRDefault="00EC6427" w:rsidP="00B33C50">
      <w:pPr>
        <w:pStyle w:val="JuHHead"/>
        <w:tabs>
          <w:tab w:val="left" w:pos="5387"/>
        </w:tabs>
      </w:pPr>
      <w:r w:rsidRPr="000E496D">
        <w:t>EN FAIT</w:t>
      </w:r>
    </w:p>
    <w:p w:rsidR="00D31210" w:rsidRPr="000E496D" w:rsidRDefault="0000732D" w:rsidP="00B33C50">
      <w:pPr>
        <w:pStyle w:val="JuHIRoman"/>
        <w:outlineLvl w:val="0"/>
      </w:pPr>
      <w:r w:rsidRPr="000E496D">
        <w:t>I.  LES CIRCONSTANCES DE L</w:t>
      </w:r>
      <w:r w:rsidR="00C419B2">
        <w:t>’</w:t>
      </w:r>
      <w:r w:rsidRPr="000E496D">
        <w:t>ESPÈC</w:t>
      </w:r>
      <w:r w:rsidR="00D31210" w:rsidRPr="000E496D">
        <w:t>E</w:t>
      </w:r>
    </w:p>
    <w:p w:rsidR="00276BEC" w:rsidRDefault="00276BEC" w:rsidP="00276BEC">
      <w:pPr>
        <w:pStyle w:val="JuHA"/>
      </w:pPr>
      <w:r>
        <w:t>A.  L</w:t>
      </w:r>
      <w:r w:rsidR="00C419B2">
        <w:t>’</w:t>
      </w:r>
      <w:r>
        <w:t>évolution de la situation de l</w:t>
      </w:r>
      <w:r w:rsidR="00C419B2">
        <w:t>’</w:t>
      </w:r>
      <w:r>
        <w:t>école primaire d</w:t>
      </w:r>
      <w:r w:rsidR="00C419B2">
        <w:t>’</w:t>
      </w:r>
      <w:r>
        <w:t xml:space="preserve">Aspropyrgos depuis </w:t>
      </w:r>
      <w:r w:rsidR="00C520DB">
        <w:t xml:space="preserve">les faits de </w:t>
      </w:r>
      <w:r>
        <w:t>l</w:t>
      </w:r>
      <w:r w:rsidR="00C419B2">
        <w:t>’</w:t>
      </w:r>
      <w:r>
        <w:t xml:space="preserve">arrêt </w:t>
      </w:r>
      <w:r w:rsidRPr="00120281">
        <w:rPr>
          <w:i/>
        </w:rPr>
        <w:t>Sampanis et autres c. Grèce</w:t>
      </w:r>
      <w:r>
        <w:t xml:space="preserve"> du 5 juin 2008</w:t>
      </w:r>
    </w:p>
    <w:p w:rsidR="009A4473" w:rsidRDefault="000E496D" w:rsidP="009A4473">
      <w:pPr>
        <w:pStyle w:val="JuPara"/>
      </w:pPr>
      <w:r w:rsidRPr="000E496D">
        <w:fldChar w:fldCharType="begin"/>
      </w:r>
      <w:r w:rsidRPr="000E496D">
        <w:instrText xml:space="preserve"> SEQ level0 \*arabic </w:instrText>
      </w:r>
      <w:r w:rsidRPr="000E496D">
        <w:fldChar w:fldCharType="separate"/>
      </w:r>
      <w:r w:rsidR="00E555B3">
        <w:rPr>
          <w:noProof/>
        </w:rPr>
        <w:t>5</w:t>
      </w:r>
      <w:r w:rsidRPr="000E496D">
        <w:fldChar w:fldCharType="end"/>
      </w:r>
      <w:r w:rsidR="00EC6427" w:rsidRPr="000E496D">
        <w:t>.  </w:t>
      </w:r>
      <w:r w:rsidRPr="000E496D">
        <w:t>Les requérants</w:t>
      </w:r>
      <w:r w:rsidR="004A3C27">
        <w:t>, tous d</w:t>
      </w:r>
      <w:r w:rsidR="00C419B2">
        <w:t>’</w:t>
      </w:r>
      <w:r w:rsidR="004A3C27">
        <w:t>origine rom,</w:t>
      </w:r>
      <w:r w:rsidR="009A4473">
        <w:t xml:space="preserve"> résid</w:t>
      </w:r>
      <w:r w:rsidR="00EB1F0F">
        <w:t>ai</w:t>
      </w:r>
      <w:r w:rsidR="009A4473">
        <w:t>e</w:t>
      </w:r>
      <w:r w:rsidR="009A4473" w:rsidRPr="00704CB3">
        <w:t>nt</w:t>
      </w:r>
      <w:r w:rsidR="00EB1F0F">
        <w:t>, à l</w:t>
      </w:r>
      <w:r w:rsidR="00C419B2">
        <w:t>’</w:t>
      </w:r>
      <w:r w:rsidR="00EB1F0F">
        <w:t>époque des faits,</w:t>
      </w:r>
      <w:r w:rsidR="009A4473" w:rsidRPr="00704CB3">
        <w:t xml:space="preserve"> </w:t>
      </w:r>
      <w:r w:rsidR="009A4473">
        <w:t>sur</w:t>
      </w:r>
      <w:r w:rsidR="009A4473" w:rsidRPr="00704CB3">
        <w:t xml:space="preserve"> </w:t>
      </w:r>
      <w:r w:rsidR="009A4473">
        <w:t>l</w:t>
      </w:r>
      <w:r w:rsidR="00C419B2">
        <w:t>’</w:t>
      </w:r>
      <w:r w:rsidR="009A4473">
        <w:t>aire de Psari</w:t>
      </w:r>
      <w:r w:rsidR="00120281">
        <w:t>,</w:t>
      </w:r>
      <w:r w:rsidR="009A4473">
        <w:t xml:space="preserve"> près </w:t>
      </w:r>
      <w:r w:rsidR="009A4473" w:rsidRPr="0031395A">
        <w:t>d</w:t>
      </w:r>
      <w:r w:rsidR="00C419B2">
        <w:t>’</w:t>
      </w:r>
      <w:r w:rsidR="009A4473" w:rsidRPr="0031395A">
        <w:t>Aspropyrgos. Quatre-vingt</w:t>
      </w:r>
      <w:r w:rsidR="00120281" w:rsidRPr="0031395A">
        <w:t>-</w:t>
      </w:r>
      <w:r w:rsidR="009A4473" w:rsidRPr="0031395A">
        <w:t xml:space="preserve">dix-huit </w:t>
      </w:r>
      <w:r w:rsidR="00360943" w:rsidRPr="0031395A">
        <w:t xml:space="preserve">requérants </w:t>
      </w:r>
      <w:r w:rsidR="00EB1F0F" w:rsidRPr="0031395A">
        <w:t xml:space="preserve">étaient </w:t>
      </w:r>
      <w:r w:rsidR="009A4473" w:rsidRPr="0031395A">
        <w:t>des enfants</w:t>
      </w:r>
      <w:r w:rsidR="009A4473">
        <w:t xml:space="preserve"> </w:t>
      </w:r>
      <w:r w:rsidR="00120281">
        <w:t xml:space="preserve">âgés de cinq ans et demi à quinze ans </w:t>
      </w:r>
      <w:r w:rsidR="009A4473">
        <w:t xml:space="preserve">scolarisables en </w:t>
      </w:r>
      <w:r w:rsidR="00950ADE">
        <w:t>2008</w:t>
      </w:r>
      <w:r w:rsidR="00950ADE">
        <w:noBreakHyphen/>
      </w:r>
      <w:r w:rsidR="00D655CC">
        <w:t xml:space="preserve">2009 et </w:t>
      </w:r>
      <w:r w:rsidR="009A4473">
        <w:t xml:space="preserve">2009-2010. </w:t>
      </w:r>
      <w:r w:rsidR="00360943">
        <w:t>Quarante</w:t>
      </w:r>
      <w:r w:rsidR="00120281">
        <w:t>-</w:t>
      </w:r>
      <w:r w:rsidR="00360943">
        <w:t xml:space="preserve">deux requérants sont des adultes, parents ou tuteurs des autres requérants. </w:t>
      </w:r>
      <w:r w:rsidR="00EB1F0F">
        <w:t>Les requérants</w:t>
      </w:r>
      <w:r w:rsidR="009A4473">
        <w:t xml:space="preserve"> </w:t>
      </w:r>
      <w:r w:rsidR="00EB1F0F">
        <w:t>appartiennent à</w:t>
      </w:r>
      <w:r w:rsidR="009A4473">
        <w:t xml:space="preserve"> trente-huit familles. Certains d</w:t>
      </w:r>
      <w:r w:rsidR="00C419B2">
        <w:t>’</w:t>
      </w:r>
      <w:r w:rsidR="009A4473">
        <w:t>entre eux étaient requérants dans l</w:t>
      </w:r>
      <w:r w:rsidR="00C419B2">
        <w:t>’</w:t>
      </w:r>
      <w:r w:rsidR="009A4473">
        <w:t>affaire qui a donné lieu à l</w:t>
      </w:r>
      <w:r w:rsidR="00C419B2">
        <w:t>’</w:t>
      </w:r>
      <w:r w:rsidR="009A4473">
        <w:t xml:space="preserve">arrêt </w:t>
      </w:r>
      <w:r w:rsidR="009A4473" w:rsidRPr="00503FBE">
        <w:rPr>
          <w:i/>
        </w:rPr>
        <w:t>Sampanis et autres c. Grèce</w:t>
      </w:r>
      <w:r w:rsidR="009A4473">
        <w:t xml:space="preserve"> (n</w:t>
      </w:r>
      <w:r w:rsidR="009202F2" w:rsidRPr="009202F2">
        <w:rPr>
          <w:vertAlign w:val="superscript"/>
        </w:rPr>
        <w:t>o</w:t>
      </w:r>
      <w:r w:rsidR="009A4473">
        <w:t xml:space="preserve"> 32526/05, 5 juin 2008).</w:t>
      </w:r>
    </w:p>
    <w:p w:rsidR="009A4473" w:rsidRDefault="00970717" w:rsidP="009A4473">
      <w:pPr>
        <w:pStyle w:val="JuPara"/>
      </w:pPr>
      <w:r>
        <w:fldChar w:fldCharType="begin"/>
      </w:r>
      <w:r>
        <w:instrText xml:space="preserve"> SEQ level0 \*arabic </w:instrText>
      </w:r>
      <w:r>
        <w:fldChar w:fldCharType="separate"/>
      </w:r>
      <w:r w:rsidR="00E555B3">
        <w:rPr>
          <w:noProof/>
        </w:rPr>
        <w:t>6</w:t>
      </w:r>
      <w:r>
        <w:fldChar w:fldCharType="end"/>
      </w:r>
      <w:r>
        <w:t>.  </w:t>
      </w:r>
      <w:r w:rsidR="009A4473">
        <w:t xml:space="preserve">Les requérants se réfèrent aux circonstances de fait de cet arrêt pour la période </w:t>
      </w:r>
      <w:r w:rsidR="00EB1F0F">
        <w:t xml:space="preserve">allant </w:t>
      </w:r>
      <w:r w:rsidR="009A4473">
        <w:t>jusqu</w:t>
      </w:r>
      <w:r w:rsidR="00C419B2">
        <w:t>’</w:t>
      </w:r>
      <w:r w:rsidR="009A4473">
        <w:t>à octobre 2007 et notamment à ce qui suit :</w:t>
      </w:r>
    </w:p>
    <w:p w:rsidR="009A4473" w:rsidRPr="00D75925" w:rsidRDefault="009A4473" w:rsidP="009A4473">
      <w:pPr>
        <w:pStyle w:val="JuQuot"/>
      </w:pPr>
      <w:r>
        <w:t>« </w:t>
      </w:r>
      <w:r w:rsidR="00EB1F0F">
        <w:t>29</w:t>
      </w:r>
      <w:r w:rsidRPr="00D75925">
        <w:t>.  Le 20 juin 2006, la 3</w:t>
      </w:r>
      <w:r w:rsidRPr="00D75925">
        <w:rPr>
          <w:vertAlign w:val="superscript"/>
        </w:rPr>
        <w:t>e</w:t>
      </w:r>
      <w:r w:rsidRPr="00D75925">
        <w:t xml:space="preserve"> circonscription du Conseil éducatif de l</w:t>
      </w:r>
      <w:r w:rsidR="00C419B2">
        <w:t>’</w:t>
      </w:r>
      <w:r w:rsidRPr="00D75925">
        <w:t>éducation primaire de l</w:t>
      </w:r>
      <w:r w:rsidR="00C419B2">
        <w:t>’</w:t>
      </w:r>
      <w:r w:rsidRPr="00D75925">
        <w:t>Attique de l</w:t>
      </w:r>
      <w:r w:rsidR="00C419B2">
        <w:t>’</w:t>
      </w:r>
      <w:r w:rsidRPr="00D75925">
        <w:t>Ouest adressa une lettre au directeur de la périphérie de l</w:t>
      </w:r>
      <w:r w:rsidR="00C419B2">
        <w:t>’</w:t>
      </w:r>
      <w:r w:rsidRPr="00D75925">
        <w:t>Attique. Elle l</w:t>
      </w:r>
      <w:r w:rsidR="00C419B2">
        <w:t>’</w:t>
      </w:r>
      <w:r w:rsidRPr="00D75925">
        <w:t>y informait que</w:t>
      </w:r>
      <w:r w:rsidR="00120281">
        <w:t>,</w:t>
      </w:r>
      <w:r w:rsidRPr="00D75925">
        <w:t xml:space="preserve"> pour l</w:t>
      </w:r>
      <w:r w:rsidR="00C419B2">
        <w:t>’</w:t>
      </w:r>
      <w:r w:rsidRPr="00D75925">
        <w:t xml:space="preserve">année </w:t>
      </w:r>
      <w:r>
        <w:t>scolaire</w:t>
      </w:r>
      <w:r w:rsidRPr="00D75925">
        <w:t xml:space="preserve"> 2005-2006</w:t>
      </w:r>
      <w:r w:rsidR="00120281">
        <w:t>,</w:t>
      </w:r>
      <w:r w:rsidRPr="00D75925">
        <w:t xml:space="preserve"> cinquante-quatre élèves d</w:t>
      </w:r>
      <w:r w:rsidR="00C419B2">
        <w:t>’</w:t>
      </w:r>
      <w:r w:rsidRPr="00D75925">
        <w:t>origine rom avaient été inscrits à la 10</w:t>
      </w:r>
      <w:r w:rsidRPr="00D75925">
        <w:rPr>
          <w:vertAlign w:val="superscript"/>
        </w:rPr>
        <w:t>e</w:t>
      </w:r>
      <w:r w:rsidRPr="00D75925">
        <w:t xml:space="preserve"> école primaire d</w:t>
      </w:r>
      <w:r w:rsidR="00C419B2">
        <w:t>’</w:t>
      </w:r>
      <w:r w:rsidRPr="00D75925">
        <w:t>Aspropyrgos. Elle précisait que « des classes préparatoires [avaient] été prévues pour les élèves d</w:t>
      </w:r>
      <w:r w:rsidR="00C419B2">
        <w:t>’</w:t>
      </w:r>
      <w:r w:rsidRPr="00D75925">
        <w:t>origine rom, en vue d</w:t>
      </w:r>
      <w:r w:rsidR="00C419B2">
        <w:t>’</w:t>
      </w:r>
      <w:r w:rsidRPr="00D75925">
        <w:t>assurer leur adaptation à l</w:t>
      </w:r>
      <w:r w:rsidR="00C419B2">
        <w:t>’</w:t>
      </w:r>
      <w:r w:rsidRPr="00D75925">
        <w:t>environnement scolaire, compte tenu des déficiences dont ils souffr[aient] et de diverses autres raisons rendant impossible leur intégration dans les classes ordinaires ». Elle ajoutait que « malgré les progrès effectués par les élèves roms dans les classes préparatoires, l</w:t>
      </w:r>
      <w:r w:rsidR="00C419B2">
        <w:t>’</w:t>
      </w:r>
      <w:r w:rsidRPr="00D75925">
        <w:t>ensemble des ces élèves n</w:t>
      </w:r>
      <w:r w:rsidR="00C419B2">
        <w:t>’</w:t>
      </w:r>
      <w:r w:rsidRPr="00D75925">
        <w:t>[étaient] pas encore aptes à int</w:t>
      </w:r>
      <w:r>
        <w:t>égrer les classes ordinaires</w:t>
      </w:r>
      <w:r w:rsidR="00120281">
        <w:t>.</w:t>
      </w:r>
    </w:p>
    <w:p w:rsidR="009A4473" w:rsidRPr="00D75925" w:rsidRDefault="00EB1F0F" w:rsidP="009A4473">
      <w:pPr>
        <w:pStyle w:val="JuQuot"/>
      </w:pPr>
      <w:r>
        <w:t>30</w:t>
      </w:r>
      <w:r w:rsidR="009A4473" w:rsidRPr="00D75925">
        <w:t>.  Le 5 avril 2007, les salles préfabriquées de la 10</w:t>
      </w:r>
      <w:r w:rsidR="009A4473" w:rsidRPr="00D75925">
        <w:rPr>
          <w:vertAlign w:val="superscript"/>
        </w:rPr>
        <w:t>e</w:t>
      </w:r>
      <w:r w:rsidR="009A4473" w:rsidRPr="00D75925">
        <w:t xml:space="preserve"> école primaire furent incendiées par des inconnus. Il ressort du dossier qu</w:t>
      </w:r>
      <w:r w:rsidR="00C419B2">
        <w:t>’</w:t>
      </w:r>
      <w:r w:rsidR="009A4473" w:rsidRPr="00D75925">
        <w:t>en septembre 2007 les deux salles ont été remplacées mais qu</w:t>
      </w:r>
      <w:r w:rsidR="00C419B2">
        <w:t>’</w:t>
      </w:r>
      <w:r w:rsidR="009A4473" w:rsidRPr="00D75925">
        <w:t>en raison de problèmes d</w:t>
      </w:r>
      <w:r w:rsidR="00C419B2">
        <w:t>’</w:t>
      </w:r>
      <w:r w:rsidR="009A4473" w:rsidRPr="00D75925">
        <w:t>infrastructure elles n</w:t>
      </w:r>
      <w:r w:rsidR="00C419B2">
        <w:t>’</w:t>
      </w:r>
      <w:r w:rsidR="009A4473" w:rsidRPr="00D75925">
        <w:t>étaient pas opérationnelles. En septembre 2007 fut créée à Aspropyrgos une 12</w:t>
      </w:r>
      <w:r w:rsidR="009A4473" w:rsidRPr="00D75925">
        <w:rPr>
          <w:vertAlign w:val="superscript"/>
        </w:rPr>
        <w:t>e</w:t>
      </w:r>
      <w:r w:rsidR="009A4473">
        <w:t> </w:t>
      </w:r>
      <w:r w:rsidR="009A4473" w:rsidRPr="00D75925">
        <w:t xml:space="preserve">école primaire, </w:t>
      </w:r>
      <w:r w:rsidR="00060D71">
        <w:t>vers</w:t>
      </w:r>
      <w:r w:rsidR="009A4473" w:rsidRPr="00D75925">
        <w:t xml:space="preserve"> laquelle les enfants roms furent transférés. Il ressort du dossier qu</w:t>
      </w:r>
      <w:r w:rsidR="00C419B2">
        <w:t>’</w:t>
      </w:r>
      <w:r w:rsidR="009A4473" w:rsidRPr="00D75925">
        <w:t>en octobre 2007 cette école n</w:t>
      </w:r>
      <w:r w:rsidR="00C419B2">
        <w:t>’</w:t>
      </w:r>
      <w:r w:rsidR="009A4473" w:rsidRPr="00D75925">
        <w:t>était pas encore opérationnelle, en raison de problèmes d</w:t>
      </w:r>
      <w:r w:rsidR="00C419B2">
        <w:t>’</w:t>
      </w:r>
      <w:r w:rsidR="009A4473" w:rsidRPr="00D75925">
        <w:t>infrastructure. Le Gouvernement allègue que la création de la 12</w:t>
      </w:r>
      <w:r w:rsidR="009A4473" w:rsidRPr="00D75925">
        <w:rPr>
          <w:vertAlign w:val="superscript"/>
        </w:rPr>
        <w:t>e</w:t>
      </w:r>
      <w:r w:rsidR="009A4473" w:rsidRPr="00D75925">
        <w:t xml:space="preserve"> école primaire d</w:t>
      </w:r>
      <w:r w:rsidR="00C419B2">
        <w:t>’</w:t>
      </w:r>
      <w:r w:rsidR="009A4473" w:rsidRPr="00D75925">
        <w:t>Aspropyrgos ne visait qu</w:t>
      </w:r>
      <w:r w:rsidR="00C419B2">
        <w:t>’</w:t>
      </w:r>
      <w:r w:rsidR="009A4473" w:rsidRPr="00D75925">
        <w:t>à décongestionner la 10</w:t>
      </w:r>
      <w:r w:rsidR="009A4473" w:rsidRPr="00D75925">
        <w:rPr>
          <w:vertAlign w:val="superscript"/>
        </w:rPr>
        <w:t>e</w:t>
      </w:r>
      <w:r w:rsidR="009A4473" w:rsidRPr="00D75925">
        <w:t xml:space="preserve"> école primaire.</w:t>
      </w:r>
      <w:r w:rsidR="009A4473">
        <w:t> »</w:t>
      </w:r>
    </w:p>
    <w:p w:rsidR="0037578C" w:rsidRDefault="00071429" w:rsidP="009A4473">
      <w:pPr>
        <w:pStyle w:val="JuPara"/>
      </w:pPr>
      <w:r>
        <w:fldChar w:fldCharType="begin"/>
      </w:r>
      <w:r>
        <w:instrText xml:space="preserve"> SEQ level0 \*arabic </w:instrText>
      </w:r>
      <w:r>
        <w:fldChar w:fldCharType="separate"/>
      </w:r>
      <w:r w:rsidR="00E555B3">
        <w:rPr>
          <w:noProof/>
        </w:rPr>
        <w:t>7</w:t>
      </w:r>
      <w:r>
        <w:fldChar w:fldCharType="end"/>
      </w:r>
      <w:r>
        <w:t>.  </w:t>
      </w:r>
      <w:r w:rsidR="0037578C">
        <w:t>Par une décision n</w:t>
      </w:r>
      <w:r w:rsidR="009202F2" w:rsidRPr="009202F2">
        <w:rPr>
          <w:vertAlign w:val="superscript"/>
        </w:rPr>
        <w:t>o</w:t>
      </w:r>
      <w:r w:rsidR="0037578C">
        <w:t xml:space="preserve"> 10781/D4/2008 du 25 janvier 2008, publiée au Journal </w:t>
      </w:r>
      <w:r w:rsidR="00060D71">
        <w:t>o</w:t>
      </w:r>
      <w:r w:rsidR="0037578C">
        <w:t>fficiel du 30 janvier 2008, les ministres de l</w:t>
      </w:r>
      <w:r w:rsidR="00C419B2">
        <w:t>’</w:t>
      </w:r>
      <w:r w:rsidR="0037578C">
        <w:t>Education et des Finances créèrent la 12</w:t>
      </w:r>
      <w:r w:rsidR="0037578C" w:rsidRPr="0037578C">
        <w:rPr>
          <w:vertAlign w:val="superscript"/>
        </w:rPr>
        <w:t>e</w:t>
      </w:r>
      <w:r w:rsidR="0037578C">
        <w:t xml:space="preserve"> école primaire d</w:t>
      </w:r>
      <w:r w:rsidR="00C419B2">
        <w:t>’</w:t>
      </w:r>
      <w:r w:rsidR="0037578C">
        <w:t>Aspropyrgos</w:t>
      </w:r>
      <w:r w:rsidR="007E1676">
        <w:t xml:space="preserve">, qui était censée </w:t>
      </w:r>
      <w:r w:rsidR="001307A6">
        <w:t>ac</w:t>
      </w:r>
      <w:r w:rsidR="007E1676">
        <w:t>cueillir indistinctement des élèves roms et non</w:t>
      </w:r>
      <w:r w:rsidR="00060D71">
        <w:t xml:space="preserve"> </w:t>
      </w:r>
      <w:r w:rsidR="007E1676">
        <w:t>roms</w:t>
      </w:r>
      <w:r w:rsidR="0037578C">
        <w:t>.</w:t>
      </w:r>
    </w:p>
    <w:p w:rsidR="00B136CA" w:rsidRDefault="00970717" w:rsidP="009A4473">
      <w:pPr>
        <w:pStyle w:val="JuPara"/>
      </w:pPr>
      <w:r>
        <w:fldChar w:fldCharType="begin"/>
      </w:r>
      <w:r>
        <w:instrText xml:space="preserve"> SEQ level0 \*arabic </w:instrText>
      </w:r>
      <w:r>
        <w:fldChar w:fldCharType="separate"/>
      </w:r>
      <w:r w:rsidR="00E555B3">
        <w:rPr>
          <w:noProof/>
        </w:rPr>
        <w:t>8</w:t>
      </w:r>
      <w:r>
        <w:fldChar w:fldCharType="end"/>
      </w:r>
      <w:r>
        <w:t>.  </w:t>
      </w:r>
      <w:r w:rsidR="009A4473">
        <w:t>Durant l</w:t>
      </w:r>
      <w:r w:rsidR="00C419B2">
        <w:t>’</w:t>
      </w:r>
      <w:r w:rsidR="009A4473">
        <w:t>année scolaire 2007-2008, les enfants roms étaient encore scolarisés dans un bâtiment an</w:t>
      </w:r>
      <w:r w:rsidR="00621B9D">
        <w:t>nexe au bâtiment principal de la 10</w:t>
      </w:r>
      <w:r w:rsidR="00621B9D" w:rsidRPr="00621B9D">
        <w:rPr>
          <w:vertAlign w:val="superscript"/>
        </w:rPr>
        <w:t>e</w:t>
      </w:r>
      <w:r w:rsidR="00621B9D">
        <w:t xml:space="preserve"> </w:t>
      </w:r>
      <w:r w:rsidR="009A4473">
        <w:t>école.</w:t>
      </w:r>
      <w:r w:rsidR="00621B9D">
        <w:t xml:space="preserve"> Pendant les vacances de Noël, l</w:t>
      </w:r>
      <w:r w:rsidR="009A4473">
        <w:t>es salles</w:t>
      </w:r>
      <w:r w:rsidR="00621B9D">
        <w:t xml:space="preserve"> du bâtiment annexe</w:t>
      </w:r>
      <w:r w:rsidR="009A4473">
        <w:t xml:space="preserve"> furent endommagées. Le 8 janvier 2008, à la suite d</w:t>
      </w:r>
      <w:r w:rsidR="00C419B2">
        <w:t>’</w:t>
      </w:r>
      <w:r w:rsidR="009A4473">
        <w:t>une plainte déposée par le directeur de l</w:t>
      </w:r>
      <w:r w:rsidR="00C419B2">
        <w:t>’</w:t>
      </w:r>
      <w:r w:rsidR="009A4473">
        <w:t>école, la police assura qu</w:t>
      </w:r>
      <w:r w:rsidR="00C419B2">
        <w:t>’</w:t>
      </w:r>
      <w:r w:rsidR="009A4473">
        <w:t>elle allait saisir le procureur.</w:t>
      </w:r>
    </w:p>
    <w:p w:rsidR="00B136CA" w:rsidRDefault="00970717" w:rsidP="009A4473">
      <w:pPr>
        <w:pStyle w:val="JuPara"/>
      </w:pPr>
      <w:r>
        <w:fldChar w:fldCharType="begin"/>
      </w:r>
      <w:r>
        <w:instrText xml:space="preserve"> SEQ level0 \*arabic </w:instrText>
      </w:r>
      <w:r>
        <w:fldChar w:fldCharType="separate"/>
      </w:r>
      <w:r w:rsidR="00E555B3">
        <w:rPr>
          <w:noProof/>
        </w:rPr>
        <w:t>9</w:t>
      </w:r>
      <w:r>
        <w:fldChar w:fldCharType="end"/>
      </w:r>
      <w:r>
        <w:t>.  </w:t>
      </w:r>
      <w:r w:rsidR="009A4473">
        <w:t>Selon les informations fournies par la 1</w:t>
      </w:r>
      <w:r w:rsidR="005509B0">
        <w:t>2</w:t>
      </w:r>
      <w:r w:rsidR="009A4473" w:rsidRPr="00FA07A0">
        <w:rPr>
          <w:vertAlign w:val="superscript"/>
        </w:rPr>
        <w:t>e</w:t>
      </w:r>
      <w:r w:rsidR="009A4473">
        <w:t xml:space="preserve"> école primaire, à la fin de l</w:t>
      </w:r>
      <w:r w:rsidR="00C419B2">
        <w:t>’</w:t>
      </w:r>
      <w:r w:rsidR="009A4473">
        <w:t xml:space="preserve">année scolaire 2008, </w:t>
      </w:r>
      <w:r w:rsidR="00060D71">
        <w:t>soixante</w:t>
      </w:r>
      <w:r w:rsidR="009A4473">
        <w:t xml:space="preserve"> élèves y étaient inscrits en début d</w:t>
      </w:r>
      <w:r w:rsidR="00C419B2">
        <w:t>’</w:t>
      </w:r>
      <w:r w:rsidR="009A4473">
        <w:t xml:space="preserve">année, </w:t>
      </w:r>
      <w:r w:rsidR="00060D71">
        <w:t>dix-huit</w:t>
      </w:r>
      <w:r w:rsidR="009A4473">
        <w:t> </w:t>
      </w:r>
      <w:r w:rsidR="00060D71">
        <w:t xml:space="preserve">avaient </w:t>
      </w:r>
      <w:r w:rsidR="009A4473">
        <w:t>suivi le</w:t>
      </w:r>
      <w:r w:rsidR="00060D71">
        <w:t>s</w:t>
      </w:r>
      <w:r w:rsidR="009A4473">
        <w:t xml:space="preserve"> cours occasionnellement, </w:t>
      </w:r>
      <w:r w:rsidR="00060D71">
        <w:t>neuf</w:t>
      </w:r>
      <w:r w:rsidR="009A4473">
        <w:t xml:space="preserve"> </w:t>
      </w:r>
      <w:r w:rsidR="00060D71">
        <w:t xml:space="preserve">avaient </w:t>
      </w:r>
      <w:r w:rsidR="009A4473">
        <w:t>fini l</w:t>
      </w:r>
      <w:r w:rsidR="00C419B2">
        <w:t>’</w:t>
      </w:r>
      <w:r w:rsidR="009A4473">
        <w:t>année avec beaucoup d</w:t>
      </w:r>
      <w:r w:rsidR="00C419B2">
        <w:t>’</w:t>
      </w:r>
      <w:r w:rsidR="009A4473">
        <w:t xml:space="preserve">absences et, </w:t>
      </w:r>
      <w:r w:rsidR="00060D71">
        <w:t>à l</w:t>
      </w:r>
      <w:r w:rsidR="00C419B2">
        <w:t>’</w:t>
      </w:r>
      <w:r w:rsidR="00060D71">
        <w:t>issue d</w:t>
      </w:r>
      <w:r w:rsidR="00C419B2">
        <w:t>’</w:t>
      </w:r>
      <w:r w:rsidR="009A4473">
        <w:t>un test, trois d</w:t>
      </w:r>
      <w:r w:rsidR="00C419B2">
        <w:t>’</w:t>
      </w:r>
      <w:r w:rsidR="009A4473">
        <w:t xml:space="preserve">entre eux </w:t>
      </w:r>
      <w:r w:rsidR="00060D71">
        <w:t>avaient été considérés comme ayant</w:t>
      </w:r>
      <w:r w:rsidR="009A4473">
        <w:t xml:space="preserve"> l</w:t>
      </w:r>
      <w:r w:rsidR="00C419B2">
        <w:t>’</w:t>
      </w:r>
      <w:r w:rsidR="009A4473">
        <w:t xml:space="preserve">âge et le niveau requis pour </w:t>
      </w:r>
      <w:r w:rsidR="00060D71">
        <w:t xml:space="preserve">être </w:t>
      </w:r>
      <w:r w:rsidR="009A4473">
        <w:t>intégr</w:t>
      </w:r>
      <w:r w:rsidR="00060D71">
        <w:t>és dans des classes</w:t>
      </w:r>
      <w:r w:rsidR="00060D71" w:rsidRPr="00060D71">
        <w:t xml:space="preserve"> </w:t>
      </w:r>
      <w:r w:rsidR="00FA471C">
        <w:t>ordinaires</w:t>
      </w:r>
      <w:r w:rsidR="009A4473" w:rsidRPr="00060D71">
        <w:t>.</w:t>
      </w:r>
    </w:p>
    <w:p w:rsidR="00B136CA" w:rsidRDefault="00970717" w:rsidP="009A4473">
      <w:pPr>
        <w:pStyle w:val="JuPara"/>
      </w:pPr>
      <w:r>
        <w:fldChar w:fldCharType="begin"/>
      </w:r>
      <w:r>
        <w:instrText xml:space="preserve"> SEQ level0 \*arabic </w:instrText>
      </w:r>
      <w:r>
        <w:fldChar w:fldCharType="separate"/>
      </w:r>
      <w:r w:rsidR="00E555B3">
        <w:rPr>
          <w:noProof/>
        </w:rPr>
        <w:t>10</w:t>
      </w:r>
      <w:r>
        <w:fldChar w:fldCharType="end"/>
      </w:r>
      <w:r>
        <w:t>.  </w:t>
      </w:r>
      <w:r w:rsidR="009A4473">
        <w:t>Le 3 mars 2008, la mairie d</w:t>
      </w:r>
      <w:r w:rsidR="00C419B2">
        <w:t>’</w:t>
      </w:r>
      <w:r w:rsidR="009A4473">
        <w:t xml:space="preserve">Aspropyrgos convoqua les directeurs des écoles primaires et les invita à redéfinir </w:t>
      </w:r>
      <w:r w:rsidR="00B877D7">
        <w:t xml:space="preserve">la carte scolaire et </w:t>
      </w:r>
      <w:r w:rsidR="009A4473">
        <w:t xml:space="preserve">les </w:t>
      </w:r>
      <w:r w:rsidR="00B877D7">
        <w:t>zones de recrutement</w:t>
      </w:r>
      <w:r w:rsidR="009A4473">
        <w:t xml:space="preserve"> des écoles. Ceux-ci attribuèrent la même </w:t>
      </w:r>
      <w:r w:rsidR="00B877D7">
        <w:t>zone de recrutement</w:t>
      </w:r>
      <w:r w:rsidR="009A4473">
        <w:t xml:space="preserve"> aux 9</w:t>
      </w:r>
      <w:r w:rsidR="009A4473" w:rsidRPr="004B20E2">
        <w:rPr>
          <w:vertAlign w:val="superscript"/>
        </w:rPr>
        <w:t>e</w:t>
      </w:r>
      <w:r w:rsidR="009A4473">
        <w:t>, 10</w:t>
      </w:r>
      <w:r w:rsidR="009A4473" w:rsidRPr="004B20E2">
        <w:rPr>
          <w:vertAlign w:val="superscript"/>
        </w:rPr>
        <w:t>e</w:t>
      </w:r>
      <w:r w:rsidR="009A4473">
        <w:t xml:space="preserve"> et 12</w:t>
      </w:r>
      <w:r w:rsidR="009A4473" w:rsidRPr="004B20E2">
        <w:rPr>
          <w:vertAlign w:val="superscript"/>
        </w:rPr>
        <w:t>e</w:t>
      </w:r>
      <w:r w:rsidR="00CB71D8">
        <w:t> </w:t>
      </w:r>
      <w:r w:rsidR="009A4473">
        <w:t>écoles</w:t>
      </w:r>
      <w:r w:rsidR="007951F3">
        <w:t>.</w:t>
      </w:r>
    </w:p>
    <w:p w:rsidR="00DD68E4" w:rsidRDefault="00970717" w:rsidP="009A4473">
      <w:pPr>
        <w:pStyle w:val="JuPara"/>
      </w:pPr>
      <w:r>
        <w:fldChar w:fldCharType="begin"/>
      </w:r>
      <w:r>
        <w:instrText xml:space="preserve"> SEQ level0 \*arabic </w:instrText>
      </w:r>
      <w:r>
        <w:fldChar w:fldCharType="separate"/>
      </w:r>
      <w:r w:rsidR="00E555B3">
        <w:rPr>
          <w:noProof/>
        </w:rPr>
        <w:t>11</w:t>
      </w:r>
      <w:r>
        <w:fldChar w:fldCharType="end"/>
      </w:r>
      <w:r>
        <w:t>.  </w:t>
      </w:r>
      <w:r w:rsidR="00DD68E4">
        <w:t>Le 11 mars 2008, une réunion eut lieu à la 10</w:t>
      </w:r>
      <w:r w:rsidR="00DD68E4" w:rsidRPr="00DD68E4">
        <w:rPr>
          <w:vertAlign w:val="superscript"/>
        </w:rPr>
        <w:t>e</w:t>
      </w:r>
      <w:r w:rsidR="00DD68E4">
        <w:t xml:space="preserve"> école, organisée par le médiateur, entre la direction de cette école, la préfecture, l</w:t>
      </w:r>
      <w:r w:rsidR="00C419B2">
        <w:t>’</w:t>
      </w:r>
      <w:r w:rsidR="00DD68E4">
        <w:t>association des parents d</w:t>
      </w:r>
      <w:r w:rsidR="00C419B2">
        <w:t>’</w:t>
      </w:r>
      <w:r w:rsidR="00DD68E4">
        <w:t>élèves (non</w:t>
      </w:r>
      <w:r w:rsidR="00060D71">
        <w:t xml:space="preserve"> </w:t>
      </w:r>
      <w:r w:rsidR="00DD68E4">
        <w:t>roms) et le médiateur. Le but était de convaincre les parents d</w:t>
      </w:r>
      <w:r w:rsidR="00C419B2">
        <w:t>’</w:t>
      </w:r>
      <w:r w:rsidR="00DD68E4">
        <w:t xml:space="preserve">élèves de renoncer à leur opposition à </w:t>
      </w:r>
      <w:r w:rsidR="00116432">
        <w:t>l</w:t>
      </w:r>
      <w:r w:rsidR="00C419B2">
        <w:t>’</w:t>
      </w:r>
      <w:r w:rsidR="00DD68E4">
        <w:t xml:space="preserve">intégration des élèves </w:t>
      </w:r>
      <w:r w:rsidR="00DD68E4" w:rsidRPr="00071429">
        <w:t xml:space="preserve">roms dans des classes </w:t>
      </w:r>
      <w:r w:rsidR="00FA471C" w:rsidRPr="00071429">
        <w:t>ordinair</w:t>
      </w:r>
      <w:r w:rsidR="00DD68E4" w:rsidRPr="00071429">
        <w:t xml:space="preserve">es. Toutefois, </w:t>
      </w:r>
      <w:r w:rsidR="00071429" w:rsidRPr="00071429">
        <w:t xml:space="preserve">une </w:t>
      </w:r>
      <w:r w:rsidR="00DD68E4" w:rsidRPr="00071429">
        <w:t>intervention du maire</w:t>
      </w:r>
      <w:r w:rsidR="00DD68E4">
        <w:t xml:space="preserve"> d</w:t>
      </w:r>
      <w:r w:rsidR="00C419B2">
        <w:t>’</w:t>
      </w:r>
      <w:r w:rsidR="00DD68E4">
        <w:t>Aspropyrgos ne permit pas à cette réunion d</w:t>
      </w:r>
      <w:r w:rsidR="00C419B2">
        <w:t>’</w:t>
      </w:r>
      <w:r w:rsidR="00DD68E4">
        <w:t>aboutir et il ne fut pas possible non plus d</w:t>
      </w:r>
      <w:r w:rsidR="00C419B2">
        <w:t>’</w:t>
      </w:r>
      <w:r w:rsidR="00DD68E4">
        <w:t xml:space="preserve">inscrire </w:t>
      </w:r>
      <w:r w:rsidR="00060D71">
        <w:t>dans les</w:t>
      </w:r>
      <w:r w:rsidR="0001122E">
        <w:t xml:space="preserve"> classes </w:t>
      </w:r>
      <w:r w:rsidR="00FA471C">
        <w:t>ordinair</w:t>
      </w:r>
      <w:r w:rsidR="0001122E">
        <w:t xml:space="preserve">es </w:t>
      </w:r>
      <w:r w:rsidR="00DD68E4">
        <w:t>trois élèves roms</w:t>
      </w:r>
      <w:r w:rsidR="004B0FD0">
        <w:t xml:space="preserve"> qui avaient un</w:t>
      </w:r>
      <w:r w:rsidR="00DD68E4">
        <w:t xml:space="preserve"> niveau scolaire suffisant</w:t>
      </w:r>
      <w:r w:rsidR="0001122E">
        <w:t>.</w:t>
      </w:r>
    </w:p>
    <w:p w:rsidR="004A4E77" w:rsidRDefault="00970717" w:rsidP="009A4473">
      <w:pPr>
        <w:pStyle w:val="JuPara"/>
      </w:pPr>
      <w:r>
        <w:fldChar w:fldCharType="begin"/>
      </w:r>
      <w:r>
        <w:instrText xml:space="preserve"> SEQ level0 \*arabic </w:instrText>
      </w:r>
      <w:r>
        <w:fldChar w:fldCharType="separate"/>
      </w:r>
      <w:r w:rsidR="00E555B3">
        <w:rPr>
          <w:noProof/>
        </w:rPr>
        <w:t>12</w:t>
      </w:r>
      <w:r>
        <w:fldChar w:fldCharType="end"/>
      </w:r>
      <w:r>
        <w:t>.  </w:t>
      </w:r>
      <w:r w:rsidR="00F43259">
        <w:t>Le 8</w:t>
      </w:r>
      <w:r w:rsidR="004A4E77">
        <w:t xml:space="preserve"> avril 2008, la </w:t>
      </w:r>
      <w:r w:rsidR="00060D71">
        <w:t>d</w:t>
      </w:r>
      <w:r w:rsidR="004A4E77">
        <w:t>irection de l</w:t>
      </w:r>
      <w:r w:rsidR="00C419B2">
        <w:t>’</w:t>
      </w:r>
      <w:r w:rsidR="004A4E77">
        <w:t>éducation primaire de l</w:t>
      </w:r>
      <w:r w:rsidR="00C419B2">
        <w:t>’</w:t>
      </w:r>
      <w:r w:rsidR="004A4E77">
        <w:t xml:space="preserve">Attique </w:t>
      </w:r>
      <w:r w:rsidR="00B97093">
        <w:t>de l</w:t>
      </w:r>
      <w:r w:rsidR="00C419B2">
        <w:t>’</w:t>
      </w:r>
      <w:r w:rsidR="00060D71">
        <w:t>O</w:t>
      </w:r>
      <w:r w:rsidR="004A4E77">
        <w:t xml:space="preserve">uest </w:t>
      </w:r>
      <w:r w:rsidR="00DB121D">
        <w:t>définit la zone de recrutement</w:t>
      </w:r>
      <w:r w:rsidR="00D44F2E">
        <w:t xml:space="preserve"> de chacune des douze</w:t>
      </w:r>
      <w:r w:rsidR="004A4E77">
        <w:t xml:space="preserve"> écoles de la région. L</w:t>
      </w:r>
      <w:r w:rsidR="00C419B2">
        <w:t>’</w:t>
      </w:r>
      <w:r w:rsidR="004A4E77">
        <w:t>aire de Psari</w:t>
      </w:r>
      <w:r w:rsidR="00D44F2E">
        <w:t>,</w:t>
      </w:r>
      <w:r w:rsidR="004A4E77">
        <w:t xml:space="preserve"> où les requérants résidaient, fut </w:t>
      </w:r>
      <w:r w:rsidR="00071429">
        <w:t>rattachée</w:t>
      </w:r>
      <w:r w:rsidR="004A4E77">
        <w:t xml:space="preserve"> à la 12</w:t>
      </w:r>
      <w:r w:rsidR="004A4E77" w:rsidRPr="004A4E77">
        <w:rPr>
          <w:vertAlign w:val="superscript"/>
        </w:rPr>
        <w:t>e</w:t>
      </w:r>
      <w:r w:rsidR="00CB71D8">
        <w:t> </w:t>
      </w:r>
      <w:r w:rsidR="004A4E77">
        <w:t>école.</w:t>
      </w:r>
    </w:p>
    <w:p w:rsidR="00957FC2" w:rsidRPr="00071429" w:rsidRDefault="00970717" w:rsidP="009A4473">
      <w:pPr>
        <w:pStyle w:val="JuPara"/>
      </w:pPr>
      <w:r>
        <w:fldChar w:fldCharType="begin"/>
      </w:r>
      <w:r>
        <w:instrText xml:space="preserve"> SEQ level0 \*arabic </w:instrText>
      </w:r>
      <w:r>
        <w:fldChar w:fldCharType="separate"/>
      </w:r>
      <w:r w:rsidR="00E555B3">
        <w:rPr>
          <w:noProof/>
        </w:rPr>
        <w:t>13</w:t>
      </w:r>
      <w:r>
        <w:fldChar w:fldCharType="end"/>
      </w:r>
      <w:r>
        <w:t>.  </w:t>
      </w:r>
      <w:r w:rsidR="004A4E77">
        <w:t>Le 24</w:t>
      </w:r>
      <w:r w:rsidR="00957FC2">
        <w:t xml:space="preserve"> </w:t>
      </w:r>
      <w:r w:rsidR="004A4E77">
        <w:t xml:space="preserve">juin </w:t>
      </w:r>
      <w:r w:rsidR="00957FC2">
        <w:t xml:space="preserve">2008, </w:t>
      </w:r>
      <w:r w:rsidR="00CA1797">
        <w:t>à la suite d</w:t>
      </w:r>
      <w:r w:rsidR="00C419B2">
        <w:t>’</w:t>
      </w:r>
      <w:r w:rsidR="00CA1797">
        <w:t xml:space="preserve">un rapport du comité chargé du contrôle </w:t>
      </w:r>
      <w:r w:rsidR="00CA1797" w:rsidRPr="00071429">
        <w:t xml:space="preserve">de </w:t>
      </w:r>
      <w:r w:rsidR="00060D71" w:rsidRPr="00071429">
        <w:t xml:space="preserve">la </w:t>
      </w:r>
      <w:r w:rsidR="00CA1797" w:rsidRPr="00071429">
        <w:t xml:space="preserve">conformité des bâtiments scolaires </w:t>
      </w:r>
      <w:r w:rsidR="00060D71" w:rsidRPr="00071429">
        <w:t>aux</w:t>
      </w:r>
      <w:r w:rsidR="00CA1797" w:rsidRPr="00071429">
        <w:t xml:space="preserve"> dispositions en vigueur, le préfet de l</w:t>
      </w:r>
      <w:r w:rsidR="00C419B2">
        <w:t>’</w:t>
      </w:r>
      <w:r w:rsidR="00CA1797" w:rsidRPr="00071429">
        <w:t>Attique</w:t>
      </w:r>
      <w:r w:rsidR="00B97093" w:rsidRPr="00071429">
        <w:t xml:space="preserve"> de l</w:t>
      </w:r>
      <w:r w:rsidR="00C419B2">
        <w:t>’</w:t>
      </w:r>
      <w:r w:rsidR="00B97093" w:rsidRPr="00071429">
        <w:t>Ouest</w:t>
      </w:r>
      <w:r w:rsidR="00CA1797" w:rsidRPr="00071429">
        <w:t xml:space="preserve"> décida d</w:t>
      </w:r>
      <w:r w:rsidR="00C419B2">
        <w:t>’</w:t>
      </w:r>
      <w:r w:rsidR="00551C81">
        <w:t xml:space="preserve">utiliser </w:t>
      </w:r>
      <w:r w:rsidR="00CA1797" w:rsidRPr="00071429">
        <w:t>provisoirement</w:t>
      </w:r>
      <w:r w:rsidR="00551C81">
        <w:t>, pour les locaux de la 12</w:t>
      </w:r>
      <w:r w:rsidR="00551C81" w:rsidRPr="004A3C27">
        <w:rPr>
          <w:vertAlign w:val="superscript"/>
        </w:rPr>
        <w:t>e</w:t>
      </w:r>
      <w:r w:rsidR="00551C81">
        <w:t xml:space="preserve"> école,</w:t>
      </w:r>
      <w:r w:rsidR="00CA1797" w:rsidRPr="00071429">
        <w:t xml:space="preserve"> </w:t>
      </w:r>
      <w:r w:rsidR="00551C81">
        <w:t>le</w:t>
      </w:r>
      <w:r w:rsidR="00CA1797" w:rsidRPr="00071429">
        <w:t xml:space="preserve"> bâtiment préfabriqué qui </w:t>
      </w:r>
      <w:r w:rsidR="009D302D" w:rsidRPr="00071429">
        <w:t xml:space="preserve">jouxtait </w:t>
      </w:r>
      <w:r w:rsidR="00CA1797" w:rsidRPr="00071429">
        <w:t>la 10</w:t>
      </w:r>
      <w:r w:rsidR="00CA1797" w:rsidRPr="00071429">
        <w:rPr>
          <w:vertAlign w:val="superscript"/>
        </w:rPr>
        <w:t>e</w:t>
      </w:r>
      <w:r w:rsidR="00CA1797" w:rsidRPr="00071429">
        <w:t xml:space="preserve"> école et qui avait servi</w:t>
      </w:r>
      <w:r w:rsidR="009D302D" w:rsidRPr="00071429">
        <w:t>,</w:t>
      </w:r>
      <w:r w:rsidR="00674F6C" w:rsidRPr="00071429">
        <w:t xml:space="preserve"> en</w:t>
      </w:r>
      <w:r w:rsidR="00CA1797" w:rsidRPr="00071429">
        <w:t xml:space="preserve"> 2005</w:t>
      </w:r>
      <w:r w:rsidR="009D302D" w:rsidRPr="00071429">
        <w:t>,</w:t>
      </w:r>
      <w:r w:rsidR="00CA1797" w:rsidRPr="00071429">
        <w:t xml:space="preserve"> à accueillir des classes </w:t>
      </w:r>
      <w:r w:rsidR="00071429" w:rsidRPr="00071429">
        <w:t>de soutien</w:t>
      </w:r>
      <w:r w:rsidR="00CA1797" w:rsidRPr="00071429">
        <w:t>.</w:t>
      </w:r>
    </w:p>
    <w:p w:rsidR="00B136CA" w:rsidRDefault="00970717" w:rsidP="009A4473">
      <w:pPr>
        <w:pStyle w:val="JuPara"/>
      </w:pPr>
      <w:r w:rsidRPr="00071429">
        <w:fldChar w:fldCharType="begin"/>
      </w:r>
      <w:r w:rsidRPr="00071429">
        <w:instrText xml:space="preserve"> SEQ level0 \*arabic </w:instrText>
      </w:r>
      <w:r w:rsidRPr="00071429">
        <w:fldChar w:fldCharType="separate"/>
      </w:r>
      <w:r w:rsidR="00E555B3">
        <w:rPr>
          <w:noProof/>
        </w:rPr>
        <w:t>14</w:t>
      </w:r>
      <w:r w:rsidRPr="00071429">
        <w:fldChar w:fldCharType="end"/>
      </w:r>
      <w:r w:rsidRPr="00071429">
        <w:t>.  </w:t>
      </w:r>
      <w:r w:rsidR="004A3C27">
        <w:t>Ces locaux de l</w:t>
      </w:r>
      <w:r w:rsidR="00621B9D" w:rsidRPr="00071429">
        <w:t>a</w:t>
      </w:r>
      <w:r w:rsidR="00CB4C0C" w:rsidRPr="00071429">
        <w:t xml:space="preserve"> 12</w:t>
      </w:r>
      <w:r w:rsidR="00CB4C0C" w:rsidRPr="00071429">
        <w:rPr>
          <w:vertAlign w:val="superscript"/>
        </w:rPr>
        <w:t>e</w:t>
      </w:r>
      <w:r w:rsidR="00CB4C0C" w:rsidRPr="00071429">
        <w:t xml:space="preserve"> </w:t>
      </w:r>
      <w:r w:rsidR="009A4473" w:rsidRPr="00071429">
        <w:t>école subi</w:t>
      </w:r>
      <w:r w:rsidR="004A3C27">
        <w:t>ren</w:t>
      </w:r>
      <w:r w:rsidR="009A4473" w:rsidRPr="00071429">
        <w:t>t à nouveau des dégradations pendant les vacances d</w:t>
      </w:r>
      <w:r w:rsidR="00C419B2">
        <w:t>’</w:t>
      </w:r>
      <w:r w:rsidR="009A4473" w:rsidRPr="00071429">
        <w:t>été 2008</w:t>
      </w:r>
      <w:r w:rsidR="00CD7A03" w:rsidRPr="00071429">
        <w:t xml:space="preserve"> et tout le matériel fut dérobé.</w:t>
      </w:r>
    </w:p>
    <w:p w:rsidR="00411316" w:rsidRDefault="00970717" w:rsidP="009A4473">
      <w:pPr>
        <w:pStyle w:val="JuPara"/>
      </w:pPr>
      <w:r w:rsidRPr="00071429">
        <w:fldChar w:fldCharType="begin"/>
      </w:r>
      <w:r w:rsidRPr="00071429">
        <w:instrText xml:space="preserve"> SEQ level0 \*arabic </w:instrText>
      </w:r>
      <w:r w:rsidRPr="00071429">
        <w:fldChar w:fldCharType="separate"/>
      </w:r>
      <w:r w:rsidR="00E555B3">
        <w:rPr>
          <w:noProof/>
        </w:rPr>
        <w:t>15</w:t>
      </w:r>
      <w:r w:rsidRPr="00071429">
        <w:fldChar w:fldCharType="end"/>
      </w:r>
      <w:r w:rsidRPr="00071429">
        <w:t>.  </w:t>
      </w:r>
      <w:r w:rsidR="009A4473" w:rsidRPr="00071429">
        <w:t xml:space="preserve">Le 8 septembre 2008, </w:t>
      </w:r>
      <w:r w:rsidR="00911B68" w:rsidRPr="00071429">
        <w:t>le directeur de la 12</w:t>
      </w:r>
      <w:r w:rsidR="00911B68" w:rsidRPr="00071429">
        <w:rPr>
          <w:vertAlign w:val="superscript"/>
        </w:rPr>
        <w:t>e</w:t>
      </w:r>
      <w:r w:rsidR="00911B68" w:rsidRPr="00071429">
        <w:t xml:space="preserve"> école </w:t>
      </w:r>
      <w:r w:rsidR="009A4473" w:rsidRPr="00071429">
        <w:t>r</w:t>
      </w:r>
      <w:r w:rsidR="00E60D16">
        <w:t>ap</w:t>
      </w:r>
      <w:r w:rsidR="009A4473" w:rsidRPr="00071429">
        <w:t>porta en détail</w:t>
      </w:r>
      <w:r w:rsidR="007E1676" w:rsidRPr="00071429">
        <w:t xml:space="preserve"> aux autorités régio</w:t>
      </w:r>
      <w:r w:rsidR="00411316" w:rsidRPr="00071429">
        <w:t>nales du ministère de l</w:t>
      </w:r>
      <w:r w:rsidR="00C419B2">
        <w:t>’</w:t>
      </w:r>
      <w:r w:rsidR="00411316" w:rsidRPr="00071429">
        <w:t>Education</w:t>
      </w:r>
      <w:r w:rsidR="009A4473" w:rsidRPr="00071429">
        <w:t xml:space="preserve"> les dommages causés au bâtiment e</w:t>
      </w:r>
      <w:r w:rsidR="00060D71" w:rsidRPr="00071429">
        <w:t>t</w:t>
      </w:r>
      <w:r w:rsidR="009A4473" w:rsidRPr="00071429">
        <w:t xml:space="preserve"> conclut que celui-ci n</w:t>
      </w:r>
      <w:r w:rsidR="00C419B2">
        <w:t>’</w:t>
      </w:r>
      <w:r w:rsidR="009A4473" w:rsidRPr="00071429">
        <w:t>était pas en état d</w:t>
      </w:r>
      <w:r w:rsidR="00C419B2">
        <w:t>’</w:t>
      </w:r>
      <w:r w:rsidR="009A4473" w:rsidRPr="00071429">
        <w:t xml:space="preserve">accueillir des élèves. </w:t>
      </w:r>
      <w:r w:rsidR="00411316" w:rsidRPr="00071429">
        <w:t>Il affirma que l</w:t>
      </w:r>
      <w:r w:rsidR="00C419B2">
        <w:t>’</w:t>
      </w:r>
      <w:r w:rsidR="00E60D16">
        <w:t>état d</w:t>
      </w:r>
      <w:r w:rsidR="00411316" w:rsidRPr="00071429">
        <w:t xml:space="preserve">es installations </w:t>
      </w:r>
      <w:r w:rsidR="00E60D16">
        <w:t>ne permettait</w:t>
      </w:r>
      <w:r w:rsidR="00411316" w:rsidRPr="00071429">
        <w:t xml:space="preserve"> pas </w:t>
      </w:r>
      <w:r w:rsidR="00E60D16">
        <w:t xml:space="preserve">de </w:t>
      </w:r>
      <w:r w:rsidR="00411316" w:rsidRPr="00071429">
        <w:t>couvri</w:t>
      </w:r>
      <w:r w:rsidR="00FA0CA5" w:rsidRPr="00071429">
        <w:t>r les</w:t>
      </w:r>
      <w:r w:rsidR="00FA0CA5">
        <w:t xml:space="preserve"> besoins élémentaires de l</w:t>
      </w:r>
      <w:r w:rsidR="00C419B2">
        <w:t>’</w:t>
      </w:r>
      <w:r w:rsidR="00411316">
        <w:t>école et mett</w:t>
      </w:r>
      <w:r w:rsidR="00060D71">
        <w:t>r</w:t>
      </w:r>
      <w:r w:rsidR="00411316">
        <w:t>ai</w:t>
      </w:r>
      <w:r w:rsidR="00E60D16">
        <w:t>t</w:t>
      </w:r>
      <w:r w:rsidR="00411316">
        <w:t xml:space="preserve"> en péril la sécurité des élèves et du personnel enseignant</w:t>
      </w:r>
      <w:r w:rsidR="00FA0CA5">
        <w:t>.</w:t>
      </w:r>
    </w:p>
    <w:p w:rsidR="00B136CA" w:rsidRDefault="00970717" w:rsidP="009A4473">
      <w:pPr>
        <w:pStyle w:val="JuPara"/>
      </w:pPr>
      <w:r>
        <w:fldChar w:fldCharType="begin"/>
      </w:r>
      <w:r>
        <w:instrText xml:space="preserve"> SEQ level0 \*arabic </w:instrText>
      </w:r>
      <w:r>
        <w:fldChar w:fldCharType="separate"/>
      </w:r>
      <w:r w:rsidR="00E555B3">
        <w:rPr>
          <w:noProof/>
        </w:rPr>
        <w:t>16</w:t>
      </w:r>
      <w:r>
        <w:fldChar w:fldCharType="end"/>
      </w:r>
      <w:r>
        <w:t>.  </w:t>
      </w:r>
      <w:r w:rsidR="009A4473">
        <w:t xml:space="preserve">Toutefois, le 10 septembre 2008, </w:t>
      </w:r>
      <w:r w:rsidR="00E60D16">
        <w:t xml:space="preserve">à </w:t>
      </w:r>
      <w:r w:rsidR="009A4473">
        <w:t>la veille de la rentrée scolaire, les familles roms furent informées que l</w:t>
      </w:r>
      <w:r w:rsidR="004A3C27">
        <w:t>a 12</w:t>
      </w:r>
      <w:r w:rsidR="004A3C27" w:rsidRPr="004A3C27">
        <w:rPr>
          <w:vertAlign w:val="superscript"/>
        </w:rPr>
        <w:t>e</w:t>
      </w:r>
      <w:r w:rsidR="004A3C27">
        <w:t xml:space="preserve"> </w:t>
      </w:r>
      <w:r w:rsidR="009A4473">
        <w:t xml:space="preserve">école </w:t>
      </w:r>
      <w:r w:rsidR="00E60D16">
        <w:t>ouvrirait ses portes</w:t>
      </w:r>
      <w:r w:rsidR="004A3C27">
        <w:t>, dans les locaux jouxtant la 10</w:t>
      </w:r>
      <w:r w:rsidR="004A3C27" w:rsidRPr="004A3C27">
        <w:rPr>
          <w:vertAlign w:val="superscript"/>
        </w:rPr>
        <w:t>e</w:t>
      </w:r>
      <w:r w:rsidR="004A3C27">
        <w:t>.</w:t>
      </w:r>
    </w:p>
    <w:p w:rsidR="009A4473" w:rsidRDefault="00970717" w:rsidP="009A4473">
      <w:pPr>
        <w:pStyle w:val="JuPara"/>
      </w:pPr>
      <w:r>
        <w:fldChar w:fldCharType="begin"/>
      </w:r>
      <w:r>
        <w:instrText xml:space="preserve"> SEQ level0 \*arabic </w:instrText>
      </w:r>
      <w:r>
        <w:fldChar w:fldCharType="separate"/>
      </w:r>
      <w:r w:rsidR="00E555B3">
        <w:rPr>
          <w:noProof/>
        </w:rPr>
        <w:t>17</w:t>
      </w:r>
      <w:r>
        <w:fldChar w:fldCharType="end"/>
      </w:r>
      <w:r>
        <w:t>.  </w:t>
      </w:r>
      <w:r w:rsidR="009A4473">
        <w:t>Le 22 septembre 2008, une délégation de</w:t>
      </w:r>
      <w:r w:rsidR="009A4473" w:rsidRPr="00030C7D">
        <w:t xml:space="preserve"> </w:t>
      </w:r>
      <w:r w:rsidR="009A4473">
        <w:t>la Commission européenne contre le racisme et l</w:t>
      </w:r>
      <w:r w:rsidR="00C419B2">
        <w:t>’</w:t>
      </w:r>
      <w:r w:rsidR="009A4473">
        <w:t>intolérance (ECRI) du Conseil de l</w:t>
      </w:r>
      <w:r w:rsidR="00C419B2">
        <w:t>’</w:t>
      </w:r>
      <w:r w:rsidR="009A4473">
        <w:t xml:space="preserve">Europe </w:t>
      </w:r>
      <w:r w:rsidR="00060D71">
        <w:t xml:space="preserve">se </w:t>
      </w:r>
      <w:r w:rsidR="009A4473">
        <w:t xml:space="preserve">rendit </w:t>
      </w:r>
      <w:r w:rsidR="00060D71">
        <w:t xml:space="preserve">en </w:t>
      </w:r>
      <w:r w:rsidR="009A4473">
        <w:t xml:space="preserve">visite, entre autres, </w:t>
      </w:r>
      <w:r w:rsidR="00060D71">
        <w:t>auprès de</w:t>
      </w:r>
      <w:r w:rsidR="009A4473">
        <w:t xml:space="preserve"> la communauté rom de Psari et à la 12</w:t>
      </w:r>
      <w:r w:rsidR="009A4473" w:rsidRPr="00984A41">
        <w:rPr>
          <w:vertAlign w:val="superscript"/>
        </w:rPr>
        <w:t>e</w:t>
      </w:r>
      <w:r w:rsidR="009A4473">
        <w:t xml:space="preserve"> école.</w:t>
      </w:r>
    </w:p>
    <w:p w:rsidR="009A4473" w:rsidRDefault="00970717" w:rsidP="009A4473">
      <w:pPr>
        <w:pStyle w:val="JuPara"/>
      </w:pPr>
      <w:r>
        <w:fldChar w:fldCharType="begin"/>
      </w:r>
      <w:r>
        <w:instrText xml:space="preserve"> SEQ level0 \*arabic </w:instrText>
      </w:r>
      <w:r>
        <w:fldChar w:fldCharType="separate"/>
      </w:r>
      <w:r w:rsidR="00E555B3">
        <w:rPr>
          <w:noProof/>
        </w:rPr>
        <w:t>18</w:t>
      </w:r>
      <w:r>
        <w:fldChar w:fldCharType="end"/>
      </w:r>
      <w:r>
        <w:t>.  </w:t>
      </w:r>
      <w:r w:rsidR="009A4473">
        <w:t>Le 24 septembre</w:t>
      </w:r>
      <w:r w:rsidR="00806911">
        <w:t xml:space="preserve"> et </w:t>
      </w:r>
      <w:r w:rsidR="00060D71">
        <w:t xml:space="preserve">le </w:t>
      </w:r>
      <w:r w:rsidR="00806911">
        <w:t>8 octobre</w:t>
      </w:r>
      <w:r w:rsidR="009A4473">
        <w:t xml:space="preserve"> 2008, les services du ministère de l</w:t>
      </w:r>
      <w:r w:rsidR="00C419B2">
        <w:t>’</w:t>
      </w:r>
      <w:r w:rsidR="009A4473">
        <w:t xml:space="preserve">Education invitèrent </w:t>
      </w:r>
      <w:r w:rsidR="00806911">
        <w:t>le maire d</w:t>
      </w:r>
      <w:r w:rsidR="00C419B2">
        <w:t>’</w:t>
      </w:r>
      <w:r w:rsidR="00806911">
        <w:t xml:space="preserve">Aspropyrgos et </w:t>
      </w:r>
      <w:r w:rsidR="00DD5A35">
        <w:t>le préfet de l</w:t>
      </w:r>
      <w:r w:rsidR="00C419B2">
        <w:t>’</w:t>
      </w:r>
      <w:r w:rsidR="00DD5A35">
        <w:t>Attique</w:t>
      </w:r>
      <w:r w:rsidR="00B97093" w:rsidRPr="00B97093">
        <w:t xml:space="preserve"> </w:t>
      </w:r>
      <w:r w:rsidR="00B97093">
        <w:t>de l</w:t>
      </w:r>
      <w:r w:rsidR="00C419B2">
        <w:t>’</w:t>
      </w:r>
      <w:r w:rsidR="00B97093">
        <w:t>Ouest</w:t>
      </w:r>
      <w:r w:rsidR="00DD5A35">
        <w:t xml:space="preserve"> </w:t>
      </w:r>
      <w:r w:rsidR="009A4473">
        <w:t xml:space="preserve">à </w:t>
      </w:r>
      <w:r w:rsidR="00DD5A35">
        <w:t xml:space="preserve">autoriser </w:t>
      </w:r>
      <w:r w:rsidR="00AC38FE">
        <w:t>la fusion</w:t>
      </w:r>
      <w:r w:rsidR="0012700B">
        <w:t xml:space="preserve"> de</w:t>
      </w:r>
      <w:r w:rsidR="00060D71">
        <w:t xml:space="preserve"> la</w:t>
      </w:r>
      <w:r w:rsidR="0012700B">
        <w:t xml:space="preserve"> 12</w:t>
      </w:r>
      <w:r w:rsidR="0012700B" w:rsidRPr="0012700B">
        <w:rPr>
          <w:vertAlign w:val="superscript"/>
        </w:rPr>
        <w:t>e</w:t>
      </w:r>
      <w:r w:rsidR="0012700B">
        <w:t xml:space="preserve"> </w:t>
      </w:r>
      <w:r w:rsidR="00061428">
        <w:t>et</w:t>
      </w:r>
      <w:r w:rsidR="009A4473">
        <w:t xml:space="preserve"> </w:t>
      </w:r>
      <w:r w:rsidR="00060D71">
        <w:t xml:space="preserve">de la </w:t>
      </w:r>
      <w:r w:rsidR="009A4473">
        <w:t>11</w:t>
      </w:r>
      <w:r w:rsidR="009A4473" w:rsidRPr="0085641F">
        <w:rPr>
          <w:vertAlign w:val="superscript"/>
        </w:rPr>
        <w:t>e</w:t>
      </w:r>
      <w:r w:rsidR="00AC38FE" w:rsidRPr="00AC38FE">
        <w:t xml:space="preserve"> </w:t>
      </w:r>
      <w:r w:rsidR="00AC38FE">
        <w:t>école</w:t>
      </w:r>
      <w:r w:rsidR="009A4473">
        <w:t>, en attirant l</w:t>
      </w:r>
      <w:r w:rsidR="00C419B2">
        <w:t>’</w:t>
      </w:r>
      <w:r w:rsidR="009A4473">
        <w:t xml:space="preserve">attention sur le fait que cette affaire était suivie par les institutions européennes </w:t>
      </w:r>
      <w:r w:rsidR="00060D71">
        <w:t xml:space="preserve">à la </w:t>
      </w:r>
      <w:r w:rsidR="009A4473">
        <w:t>suite de plaintes portées contre la Grèce.</w:t>
      </w:r>
    </w:p>
    <w:p w:rsidR="00707A84" w:rsidRDefault="00970717" w:rsidP="00707A84">
      <w:pPr>
        <w:pStyle w:val="JuPara"/>
      </w:pPr>
      <w:r>
        <w:fldChar w:fldCharType="begin"/>
      </w:r>
      <w:r>
        <w:instrText xml:space="preserve"> SEQ level0 \*arabic </w:instrText>
      </w:r>
      <w:r>
        <w:fldChar w:fldCharType="separate"/>
      </w:r>
      <w:r w:rsidR="00E555B3">
        <w:rPr>
          <w:noProof/>
        </w:rPr>
        <w:t>19</w:t>
      </w:r>
      <w:r>
        <w:fldChar w:fldCharType="end"/>
      </w:r>
      <w:r>
        <w:t>.  </w:t>
      </w:r>
      <w:r w:rsidR="00707A84">
        <w:t xml:space="preserve">Une lettre envoyée </w:t>
      </w:r>
      <w:r w:rsidR="00061428">
        <w:t xml:space="preserve">le 26 septembre 2008 </w:t>
      </w:r>
      <w:r w:rsidR="004A3C27">
        <w:t>au ministre de l</w:t>
      </w:r>
      <w:r w:rsidR="00C419B2">
        <w:t>’</w:t>
      </w:r>
      <w:r w:rsidR="004A3C27">
        <w:t xml:space="preserve">Education </w:t>
      </w:r>
      <w:r w:rsidR="00707A84">
        <w:t>par le maire d</w:t>
      </w:r>
      <w:r w:rsidR="00C419B2">
        <w:t>’</w:t>
      </w:r>
      <w:r w:rsidR="00707A84">
        <w:t>Aspropyrgos et les parents d</w:t>
      </w:r>
      <w:r w:rsidR="00C419B2">
        <w:t>’</w:t>
      </w:r>
      <w:r w:rsidR="00707A84">
        <w:t>élèves non</w:t>
      </w:r>
      <w:r w:rsidR="00060D71">
        <w:t xml:space="preserve"> </w:t>
      </w:r>
      <w:r w:rsidR="00707A84">
        <w:t>roms se lisait ainsi :</w:t>
      </w:r>
    </w:p>
    <w:p w:rsidR="00707A84" w:rsidRDefault="00707A84" w:rsidP="00707A84">
      <w:pPr>
        <w:pStyle w:val="JuQuot"/>
      </w:pPr>
      <w:r w:rsidRPr="00B72512">
        <w:t>« La création de la 12</w:t>
      </w:r>
      <w:r w:rsidRPr="00B72512">
        <w:rPr>
          <w:vertAlign w:val="superscript"/>
        </w:rPr>
        <w:t>e</w:t>
      </w:r>
      <w:r w:rsidRPr="00B72512">
        <w:t xml:space="preserve"> école primaire ne visait pas (</w:t>
      </w:r>
      <w:r w:rsidR="009202F2">
        <w:t>...</w:t>
      </w:r>
      <w:r w:rsidRPr="00B72512">
        <w:t xml:space="preserve">) à </w:t>
      </w:r>
      <w:r w:rsidR="00964A64">
        <w:t>exercer</w:t>
      </w:r>
      <w:r w:rsidR="00964A64" w:rsidRPr="00B72512">
        <w:t xml:space="preserve"> </w:t>
      </w:r>
      <w:r w:rsidRPr="00B72512">
        <w:t>une ségrégation</w:t>
      </w:r>
      <w:r>
        <w:t xml:space="preserve"> </w:t>
      </w:r>
      <w:r w:rsidR="00964A64">
        <w:t>entre l</w:t>
      </w:r>
      <w:r>
        <w:t xml:space="preserve">es enfants roms </w:t>
      </w:r>
      <w:r w:rsidR="00964A64">
        <w:t>et les</w:t>
      </w:r>
      <w:r>
        <w:t xml:space="preserve"> autres élèves des écoles du district. </w:t>
      </w:r>
      <w:r w:rsidR="00AA241B">
        <w:t>Elle</w:t>
      </w:r>
      <w:r>
        <w:t xml:space="preserve"> est </w:t>
      </w:r>
      <w:r w:rsidR="00AA241B">
        <w:t xml:space="preserve">cependant </w:t>
      </w:r>
      <w:r>
        <w:t>devenu</w:t>
      </w:r>
      <w:r w:rsidR="00AA241B">
        <w:t>e</w:t>
      </w:r>
      <w:r>
        <w:t xml:space="preserve"> une nécessité inévitable parce que des </w:t>
      </w:r>
      <w:r w:rsidR="00D32DFB">
        <w:t>T</w:t>
      </w:r>
      <w:r>
        <w:t>siganes vivant dans des tentes ont choisi de vivre une vie nomade, dans des décharges qu</w:t>
      </w:r>
      <w:r w:rsidR="00C419B2">
        <w:t>’</w:t>
      </w:r>
      <w:r>
        <w:t>ils ont eux-mêmes créées, sans se soucier des standards élémentaires d</w:t>
      </w:r>
      <w:r w:rsidR="00C419B2">
        <w:t>’</w:t>
      </w:r>
      <w:r>
        <w:t>hygiène</w:t>
      </w:r>
      <w:r w:rsidR="00964A64">
        <w:t>,</w:t>
      </w:r>
      <w:r>
        <w:t xml:space="preserve"> et </w:t>
      </w:r>
      <w:r w:rsidR="00964A64">
        <w:t xml:space="preserve">en </w:t>
      </w:r>
      <w:r>
        <w:t>s</w:t>
      </w:r>
      <w:r w:rsidR="00C419B2">
        <w:t>’</w:t>
      </w:r>
      <w:r>
        <w:t>adonnant à des activités illégales qui ont un impact négatif sur des groupes sociaux vulnérables ainsi que, de manière plus générale, sur les habitants d</w:t>
      </w:r>
      <w:r w:rsidR="00C419B2">
        <w:t>’</w:t>
      </w:r>
      <w:r>
        <w:t>Aspropyrgos.</w:t>
      </w:r>
      <w:r w:rsidR="00061428">
        <w:t xml:space="preserve"> (</w:t>
      </w:r>
      <w:r w:rsidR="009202F2">
        <w:t>...</w:t>
      </w:r>
      <w:r w:rsidR="00061428">
        <w:t xml:space="preserve">) En dépit de tout </w:t>
      </w:r>
      <w:r w:rsidR="00964A64">
        <w:t>cela</w:t>
      </w:r>
      <w:r w:rsidR="00061428">
        <w:t>, [les enfants roms] osent exiger de partager les mêmes salles de classe que les autres élèves d</w:t>
      </w:r>
      <w:r w:rsidR="00C419B2">
        <w:t>’</w:t>
      </w:r>
      <w:r w:rsidR="00061428">
        <w:t>Aspropyrgos, dont un pourcentage considérable fait partie des groupes sociaux sensibles ou sont des enfants d</w:t>
      </w:r>
      <w:r w:rsidR="00C419B2">
        <w:t>’</w:t>
      </w:r>
      <w:r w:rsidR="00061428">
        <w:t>immigrés économiques (</w:t>
      </w:r>
      <w:r w:rsidR="009202F2">
        <w:t>...</w:t>
      </w:r>
      <w:r w:rsidR="00061428">
        <w:t>)</w:t>
      </w:r>
      <w:r>
        <w:t> »</w:t>
      </w:r>
    </w:p>
    <w:p w:rsidR="00B136CA" w:rsidRDefault="00970717" w:rsidP="009A4473">
      <w:pPr>
        <w:pStyle w:val="JuPara"/>
      </w:pPr>
      <w:r>
        <w:fldChar w:fldCharType="begin"/>
      </w:r>
      <w:r>
        <w:instrText xml:space="preserve"> SEQ level0 \*arabic </w:instrText>
      </w:r>
      <w:r>
        <w:fldChar w:fldCharType="separate"/>
      </w:r>
      <w:r w:rsidR="00E555B3">
        <w:rPr>
          <w:noProof/>
        </w:rPr>
        <w:t>20</w:t>
      </w:r>
      <w:r>
        <w:fldChar w:fldCharType="end"/>
      </w:r>
      <w:r>
        <w:t>.  </w:t>
      </w:r>
      <w:r w:rsidR="009A4473">
        <w:t>Le 17 octobre 2008, le préfet de l</w:t>
      </w:r>
      <w:r w:rsidR="00C419B2">
        <w:t>’</w:t>
      </w:r>
      <w:r w:rsidR="009A4473">
        <w:t xml:space="preserve">Attique </w:t>
      </w:r>
      <w:r w:rsidR="00B97093">
        <w:t>de l</w:t>
      </w:r>
      <w:r w:rsidR="00C419B2">
        <w:t>’</w:t>
      </w:r>
      <w:r w:rsidR="004300EC">
        <w:t xml:space="preserve">Ouest refusa </w:t>
      </w:r>
      <w:r w:rsidR="00964A64">
        <w:t>l</w:t>
      </w:r>
      <w:r w:rsidR="00C419B2">
        <w:t>’</w:t>
      </w:r>
      <w:r w:rsidR="00DD5A35">
        <w:t xml:space="preserve">autorisation </w:t>
      </w:r>
      <w:r w:rsidR="00964A64">
        <w:t>demandée</w:t>
      </w:r>
      <w:r w:rsidR="004A3C27">
        <w:t xml:space="preserve"> (paragraphe 18 ci-dessus)</w:t>
      </w:r>
      <w:r w:rsidR="00964A64">
        <w:t xml:space="preserve"> </w:t>
      </w:r>
      <w:r w:rsidR="00DD5A35">
        <w:t>au motif qu</w:t>
      </w:r>
      <w:r w:rsidR="00C419B2">
        <w:t>’</w:t>
      </w:r>
      <w:r w:rsidR="00DD5A35">
        <w:t xml:space="preserve">il souhaitait </w:t>
      </w:r>
      <w:r w:rsidR="000D457D">
        <w:t xml:space="preserve">éviter </w:t>
      </w:r>
      <w:r w:rsidR="00DD5A35">
        <w:t xml:space="preserve">de créer </w:t>
      </w:r>
      <w:r w:rsidR="000D457D">
        <w:t>des problèmes d</w:t>
      </w:r>
      <w:r w:rsidR="00C419B2">
        <w:t>’</w:t>
      </w:r>
      <w:r w:rsidR="000D457D">
        <w:t>ordre social, culturel et éducatif</w:t>
      </w:r>
      <w:r w:rsidR="009A4473">
        <w:t>. Il releva</w:t>
      </w:r>
      <w:r w:rsidR="000D457D">
        <w:t xml:space="preserve"> en outre</w:t>
      </w:r>
      <w:r w:rsidR="009A4473">
        <w:t xml:space="preserve"> que la 12</w:t>
      </w:r>
      <w:r w:rsidR="009A4473" w:rsidRPr="0017373C">
        <w:rPr>
          <w:vertAlign w:val="superscript"/>
        </w:rPr>
        <w:t>e</w:t>
      </w:r>
      <w:r w:rsidR="00CB71D8">
        <w:t> </w:t>
      </w:r>
      <w:r w:rsidR="009A4473">
        <w:t>école était plus proche d</w:t>
      </w:r>
      <w:r w:rsidR="00D32DFB">
        <w:t>u lieu d</w:t>
      </w:r>
      <w:r w:rsidR="00C419B2">
        <w:t>’</w:t>
      </w:r>
      <w:r w:rsidR="009A4473">
        <w:t xml:space="preserve">habitation des élèves </w:t>
      </w:r>
      <w:r w:rsidR="00D32DFB">
        <w:t xml:space="preserve">roms </w:t>
      </w:r>
      <w:r w:rsidR="009A4473">
        <w:t>que la 11</w:t>
      </w:r>
      <w:r w:rsidR="009A4473" w:rsidRPr="0017373C">
        <w:rPr>
          <w:vertAlign w:val="superscript"/>
        </w:rPr>
        <w:t>e</w:t>
      </w:r>
      <w:r w:rsidR="009A4473">
        <w:t>.</w:t>
      </w:r>
    </w:p>
    <w:p w:rsidR="009A4473" w:rsidRDefault="00970717" w:rsidP="009A4473">
      <w:pPr>
        <w:pStyle w:val="JuPara"/>
      </w:pPr>
      <w:r>
        <w:fldChar w:fldCharType="begin"/>
      </w:r>
      <w:r>
        <w:instrText xml:space="preserve"> SEQ level0 \*arabic </w:instrText>
      </w:r>
      <w:r>
        <w:fldChar w:fldCharType="separate"/>
      </w:r>
      <w:r w:rsidR="00E555B3">
        <w:rPr>
          <w:noProof/>
        </w:rPr>
        <w:t>21</w:t>
      </w:r>
      <w:r>
        <w:fldChar w:fldCharType="end"/>
      </w:r>
      <w:r>
        <w:t>.  </w:t>
      </w:r>
      <w:r w:rsidR="00B52E38">
        <w:t xml:space="preserve">Le </w:t>
      </w:r>
      <w:r w:rsidR="009A4473">
        <w:t xml:space="preserve">8 décembre 2008, </w:t>
      </w:r>
      <w:r w:rsidR="00B52E38">
        <w:t>le médiateur de la République adressa</w:t>
      </w:r>
      <w:r w:rsidR="009A4473">
        <w:t xml:space="preserve"> au </w:t>
      </w:r>
      <w:r w:rsidR="00B52E38">
        <w:t>préfet de l</w:t>
      </w:r>
      <w:r w:rsidR="00C419B2">
        <w:t>’</w:t>
      </w:r>
      <w:r w:rsidR="00B52E38">
        <w:t>Attique</w:t>
      </w:r>
      <w:r w:rsidR="00B97093" w:rsidRPr="00B97093">
        <w:t xml:space="preserve"> </w:t>
      </w:r>
      <w:r w:rsidR="00B97093">
        <w:t>de l</w:t>
      </w:r>
      <w:r w:rsidR="00C419B2">
        <w:t>’</w:t>
      </w:r>
      <w:r w:rsidR="00B97093">
        <w:t>Ouest</w:t>
      </w:r>
      <w:r w:rsidR="00B52E38">
        <w:t xml:space="preserve"> une lettre l</w:t>
      </w:r>
      <w:r w:rsidR="00C419B2">
        <w:t>’</w:t>
      </w:r>
      <w:r w:rsidR="00B52E38">
        <w:t xml:space="preserve">incitant </w:t>
      </w:r>
      <w:r w:rsidR="00CB71D8">
        <w:t>à revenir sur sa décision du 17 </w:t>
      </w:r>
      <w:r w:rsidR="00B52E38">
        <w:t xml:space="preserve">octobre </w:t>
      </w:r>
      <w:r w:rsidR="00DB37CB">
        <w:t xml:space="preserve">2008. </w:t>
      </w:r>
      <w:r w:rsidR="00964A64">
        <w:t>I</w:t>
      </w:r>
      <w:r w:rsidR="00DB37CB">
        <w:t xml:space="preserve">l </w:t>
      </w:r>
      <w:r w:rsidR="00F926E0">
        <w:t>précisai</w:t>
      </w:r>
      <w:r w:rsidR="007F4A0F">
        <w:t>t</w:t>
      </w:r>
      <w:r w:rsidR="00964A64">
        <w:t xml:space="preserve"> entre autres</w:t>
      </w:r>
      <w:r w:rsidR="007F4A0F">
        <w:t xml:space="preserve"> ce qui sui</w:t>
      </w:r>
      <w:r w:rsidR="00F926E0">
        <w:t>t</w:t>
      </w:r>
      <w:r w:rsidR="009A4473">
        <w:t> :</w:t>
      </w:r>
    </w:p>
    <w:p w:rsidR="00F926E0" w:rsidRDefault="009A4473" w:rsidP="009A4473">
      <w:pPr>
        <w:pStyle w:val="JuQuot"/>
      </w:pPr>
      <w:r>
        <w:t>« </w:t>
      </w:r>
      <w:r w:rsidR="00F926E0">
        <w:t>La 12</w:t>
      </w:r>
      <w:r w:rsidR="00F926E0" w:rsidRPr="00F926E0">
        <w:rPr>
          <w:vertAlign w:val="superscript"/>
        </w:rPr>
        <w:t>e</w:t>
      </w:r>
      <w:r w:rsidR="00F926E0">
        <w:t xml:space="preserve"> école d</w:t>
      </w:r>
      <w:r w:rsidR="00C419B2">
        <w:t>’</w:t>
      </w:r>
      <w:r w:rsidR="00F926E0">
        <w:t>Aspropyrgo</w:t>
      </w:r>
      <w:r w:rsidR="008E4ABF">
        <w:t>s a une histoire d</w:t>
      </w:r>
      <w:r w:rsidR="00C419B2">
        <w:t>’</w:t>
      </w:r>
      <w:r w:rsidR="008E4ABF">
        <w:t>incendies vol</w:t>
      </w:r>
      <w:r w:rsidR="00F926E0">
        <w:t>o</w:t>
      </w:r>
      <w:r w:rsidR="007F4A0F">
        <w:t>n</w:t>
      </w:r>
      <w:r w:rsidR="00F926E0">
        <w:t>taires et de vandalismes qu</w:t>
      </w:r>
      <w:r w:rsidR="00C419B2">
        <w:t>’</w:t>
      </w:r>
      <w:r w:rsidR="00F926E0">
        <w:t xml:space="preserve">il est inutile de vous rappeler. On souhaiterait cependant attirer </w:t>
      </w:r>
      <w:r w:rsidR="00867839">
        <w:t xml:space="preserve">votre </w:t>
      </w:r>
      <w:r w:rsidR="00F926E0">
        <w:t>attention sur l</w:t>
      </w:r>
      <w:r w:rsidR="00C419B2">
        <w:t>’</w:t>
      </w:r>
      <w:r w:rsidR="00F926E0">
        <w:t>état de cette école tel qu</w:t>
      </w:r>
      <w:r w:rsidR="00C419B2">
        <w:t>’</w:t>
      </w:r>
      <w:r w:rsidR="00F926E0">
        <w:t>il a été décrit dans la lettre du 8 septembre 2008 envoyée par le directeur de cette école au chef du 1</w:t>
      </w:r>
      <w:r w:rsidR="00F926E0" w:rsidRPr="00F926E0">
        <w:rPr>
          <w:vertAlign w:val="superscript"/>
        </w:rPr>
        <w:t>er</w:t>
      </w:r>
      <w:r w:rsidR="00F926E0">
        <w:t xml:space="preserve"> bureau de l</w:t>
      </w:r>
      <w:r w:rsidR="00C419B2">
        <w:t>’</w:t>
      </w:r>
      <w:r w:rsidR="00F926E0">
        <w:t>éducation régionale de l</w:t>
      </w:r>
      <w:r w:rsidR="00C419B2">
        <w:t>’</w:t>
      </w:r>
      <w:r w:rsidR="00F926E0">
        <w:t>Attique</w:t>
      </w:r>
      <w:r w:rsidR="00B97093" w:rsidRPr="00B97093">
        <w:t xml:space="preserve"> </w:t>
      </w:r>
      <w:r w:rsidR="00B97093">
        <w:t>de l</w:t>
      </w:r>
      <w:r w:rsidR="00C419B2">
        <w:t>’</w:t>
      </w:r>
      <w:r w:rsidR="00B97093">
        <w:t>Ouest</w:t>
      </w:r>
      <w:r w:rsidR="00F926E0">
        <w:t>, car ce document ne vous a pas été soumis avant que vous preniez votre décision</w:t>
      </w:r>
      <w:r w:rsidR="0073693F">
        <w:t>.</w:t>
      </w:r>
    </w:p>
    <w:p w:rsidR="00B136CA" w:rsidRDefault="009A4473" w:rsidP="009A4473">
      <w:pPr>
        <w:pStyle w:val="JuQuot"/>
      </w:pPr>
      <w:r w:rsidRPr="00D32DFB">
        <w:t>L</w:t>
      </w:r>
      <w:r w:rsidR="00C419B2">
        <w:t>’</w:t>
      </w:r>
      <w:r w:rsidR="00D32DFB" w:rsidRPr="00D32DFB">
        <w:t>aspect</w:t>
      </w:r>
      <w:r w:rsidRPr="00D32DFB">
        <w:t xml:space="preserve"> sombre des installations comprend entre autres : </w:t>
      </w:r>
      <w:r w:rsidR="00867839" w:rsidRPr="00D32DFB">
        <w:t>s</w:t>
      </w:r>
      <w:r w:rsidR="00C419B2">
        <w:t>’</w:t>
      </w:r>
      <w:r w:rsidR="00867839" w:rsidRPr="00D32DFB">
        <w:t xml:space="preserve">agissant de </w:t>
      </w:r>
      <w:r w:rsidRPr="00D32DFB">
        <w:t>la cour de</w:t>
      </w:r>
      <w:r>
        <w:t xml:space="preserve"> l</w:t>
      </w:r>
      <w:r w:rsidR="00C419B2">
        <w:t>’</w:t>
      </w:r>
      <w:r>
        <w:t>école</w:t>
      </w:r>
      <w:r w:rsidR="00867839">
        <w:t> :</w:t>
      </w:r>
      <w:r>
        <w:t xml:space="preserve"> la clôture à certains endroits peut être dangereuse pour les enfants. De plus, les balançoires et les paniers de basket sont détruits. </w:t>
      </w:r>
      <w:r w:rsidR="00867839">
        <w:t>S</w:t>
      </w:r>
      <w:r w:rsidR="00C419B2">
        <w:t>’</w:t>
      </w:r>
      <w:r w:rsidR="00867839">
        <w:t>agissant d</w:t>
      </w:r>
      <w:r>
        <w:t>es toilettes : il n</w:t>
      </w:r>
      <w:r w:rsidR="00C419B2">
        <w:t>’</w:t>
      </w:r>
      <w:r>
        <w:t xml:space="preserve">existe pas actuellement de toilettes </w:t>
      </w:r>
      <w:r w:rsidR="00867839">
        <w:t xml:space="preserve">en état de </w:t>
      </w:r>
      <w:r>
        <w:t>fonctionne</w:t>
      </w:r>
      <w:r w:rsidR="00867839">
        <w:t>ment</w:t>
      </w:r>
      <w:r>
        <w:t xml:space="preserve"> dans l</w:t>
      </w:r>
      <w:r w:rsidR="00C419B2">
        <w:t>’</w:t>
      </w:r>
      <w:r>
        <w:t>école. Elles ont été toutes pillées : les robinets, les luminaires, les câbles, les poign</w:t>
      </w:r>
      <w:r w:rsidR="00867839">
        <w:t>ées</w:t>
      </w:r>
      <w:r>
        <w:t xml:space="preserve"> de porte et une partie de porte </w:t>
      </w:r>
      <w:r w:rsidR="005F13F4">
        <w:t>ont</w:t>
      </w:r>
      <w:r>
        <w:t xml:space="preserve"> été volé</w:t>
      </w:r>
      <w:r w:rsidR="005F13F4">
        <w:t>s</w:t>
      </w:r>
      <w:r>
        <w:t xml:space="preserve">. </w:t>
      </w:r>
      <w:r w:rsidR="00867839">
        <w:t>S</w:t>
      </w:r>
      <w:r w:rsidR="00C419B2">
        <w:t>’</w:t>
      </w:r>
      <w:r w:rsidR="00867839">
        <w:t>agissant d</w:t>
      </w:r>
      <w:r>
        <w:t>es salles de cours : les portes, les fenêtres, les câbles, le tableau électrique, les luminaires, les bancs et les chaises ont été volés. Il n</w:t>
      </w:r>
      <w:r w:rsidR="00C419B2">
        <w:t>’</w:t>
      </w:r>
      <w:r>
        <w:t xml:space="preserve">y a </w:t>
      </w:r>
      <w:r w:rsidR="00867839">
        <w:t xml:space="preserve">plus </w:t>
      </w:r>
      <w:r>
        <w:t>aucun appareil de refroidissement de l</w:t>
      </w:r>
      <w:r w:rsidR="00C419B2">
        <w:t>’</w:t>
      </w:r>
      <w:r>
        <w:t xml:space="preserve">air ou de chauffage. </w:t>
      </w:r>
      <w:r w:rsidR="00867839">
        <w:t>S</w:t>
      </w:r>
      <w:r w:rsidR="00C419B2">
        <w:t>’</w:t>
      </w:r>
      <w:r w:rsidR="00867839">
        <w:t>agissant de l</w:t>
      </w:r>
      <w:r>
        <w:t>a salle des professeurs : tout ce qui existait dans cette salle a été dérobé.</w:t>
      </w:r>
    </w:p>
    <w:p w:rsidR="009A4473" w:rsidRDefault="009A4473" w:rsidP="009A4473">
      <w:pPr>
        <w:pStyle w:val="JuQuot"/>
      </w:pPr>
      <w:r>
        <w:t>A la lumière de ce qui précède, je considère que les installations de la 12</w:t>
      </w:r>
      <w:r w:rsidRPr="00286F56">
        <w:rPr>
          <w:vertAlign w:val="superscript"/>
        </w:rPr>
        <w:t>e</w:t>
      </w:r>
      <w:r>
        <w:t xml:space="preserve"> école primaire d</w:t>
      </w:r>
      <w:r w:rsidR="00C419B2">
        <w:t>’</w:t>
      </w:r>
      <w:r>
        <w:t>Aspropyrgos, telles qu</w:t>
      </w:r>
      <w:r w:rsidR="00C419B2">
        <w:t>’</w:t>
      </w:r>
      <w:r>
        <w:t>elles se présentent aujourd</w:t>
      </w:r>
      <w:r w:rsidR="00C419B2">
        <w:t>’</w:t>
      </w:r>
      <w:r>
        <w:t xml:space="preserve">hui, ne sont pas en mesure de couvrir </w:t>
      </w:r>
      <w:r w:rsidR="00867839">
        <w:t xml:space="preserve">même </w:t>
      </w:r>
      <w:r>
        <w:t xml:space="preserve">de manière élémentaire </w:t>
      </w:r>
      <w:r w:rsidR="00D32DFB">
        <w:t>les besoins d</w:t>
      </w:r>
      <w:r w:rsidR="00C419B2">
        <w:t>’</w:t>
      </w:r>
      <w:r>
        <w:t xml:space="preserve">une unité scolaire et </w:t>
      </w:r>
      <w:r w:rsidR="00867839">
        <w:t>qu</w:t>
      </w:r>
      <w:r w:rsidR="00C419B2">
        <w:t>’</w:t>
      </w:r>
      <w:r w:rsidR="00867839">
        <w:t xml:space="preserve">elles </w:t>
      </w:r>
      <w:r>
        <w:t>mettent en danger la sécurité des élèves et du personnel enseignant. »</w:t>
      </w:r>
    </w:p>
    <w:p w:rsidR="00C42627" w:rsidRDefault="00970717" w:rsidP="009A4473">
      <w:pPr>
        <w:pStyle w:val="JuPara"/>
      </w:pPr>
      <w:r>
        <w:fldChar w:fldCharType="begin"/>
      </w:r>
      <w:r>
        <w:instrText xml:space="preserve"> SEQ level0 \*arabic </w:instrText>
      </w:r>
      <w:r>
        <w:fldChar w:fldCharType="separate"/>
      </w:r>
      <w:r w:rsidR="00E555B3">
        <w:rPr>
          <w:noProof/>
        </w:rPr>
        <w:t>22</w:t>
      </w:r>
      <w:r>
        <w:fldChar w:fldCharType="end"/>
      </w:r>
      <w:r>
        <w:t>.  Le médiateur souligna</w:t>
      </w:r>
      <w:r w:rsidR="009A4473">
        <w:t xml:space="preserve"> qu</w:t>
      </w:r>
      <w:r w:rsidR="009A3E8A">
        <w:t xml:space="preserve">e, </w:t>
      </w:r>
      <w:r w:rsidR="009A4473">
        <w:t xml:space="preserve">en </w:t>
      </w:r>
      <w:r w:rsidR="00DB37CB">
        <w:t xml:space="preserve">dépit du fait que la </w:t>
      </w:r>
      <w:r w:rsidR="00935FBB">
        <w:t>zone de recrutement</w:t>
      </w:r>
      <w:r w:rsidR="00DB37CB">
        <w:t xml:space="preserve"> de la 12</w:t>
      </w:r>
      <w:r w:rsidR="00DB37CB" w:rsidRPr="00DB37CB">
        <w:rPr>
          <w:vertAlign w:val="superscript"/>
        </w:rPr>
        <w:t>e</w:t>
      </w:r>
      <w:r w:rsidR="00E400F9">
        <w:t xml:space="preserve"> école</w:t>
      </w:r>
      <w:r w:rsidR="00DB37CB">
        <w:t xml:space="preserve"> englobait une population scolaire</w:t>
      </w:r>
      <w:r w:rsidR="00D32DFB">
        <w:t xml:space="preserve"> importante</w:t>
      </w:r>
      <w:r w:rsidR="00DB37CB">
        <w:t>, tous les élèves inscrits pour l</w:t>
      </w:r>
      <w:r w:rsidR="00C419B2">
        <w:t>’</w:t>
      </w:r>
      <w:r w:rsidR="00DB37CB">
        <w:t xml:space="preserve">année 2008-2009 </w:t>
      </w:r>
      <w:r w:rsidR="009A3E8A">
        <w:t xml:space="preserve">appartenaient à </w:t>
      </w:r>
      <w:r w:rsidR="00DB37CB">
        <w:t>la communauté rom, alors que le décret présidentiel n</w:t>
      </w:r>
      <w:r w:rsidR="009202F2" w:rsidRPr="009202F2">
        <w:rPr>
          <w:vertAlign w:val="superscript"/>
        </w:rPr>
        <w:t>o</w:t>
      </w:r>
      <w:r w:rsidR="00DB37CB">
        <w:t xml:space="preserve"> 201</w:t>
      </w:r>
      <w:r w:rsidR="00BF439A">
        <w:t>/199</w:t>
      </w:r>
      <w:r w:rsidR="00BC2440">
        <w:t>8 disposait qu</w:t>
      </w:r>
      <w:r w:rsidR="00C419B2">
        <w:t>’</w:t>
      </w:r>
      <w:r w:rsidR="00A3661F">
        <w:t>il était obligatoire</w:t>
      </w:r>
      <w:r w:rsidR="00BC2440">
        <w:t xml:space="preserve"> </w:t>
      </w:r>
      <w:r w:rsidR="00A3661F">
        <w:t>d</w:t>
      </w:r>
      <w:r w:rsidR="00BC2440">
        <w:t>e transf</w:t>
      </w:r>
      <w:r w:rsidR="00A3661F">
        <w:t>érer</w:t>
      </w:r>
      <w:r w:rsidR="00BC2440">
        <w:t xml:space="preserve"> tous les</w:t>
      </w:r>
      <w:r w:rsidR="00BF439A">
        <w:t xml:space="preserve"> élèves résidant dans la </w:t>
      </w:r>
      <w:r w:rsidR="00935FBB">
        <w:t>zone de recrutement</w:t>
      </w:r>
      <w:r w:rsidR="00BF439A">
        <w:t xml:space="preserve"> d</w:t>
      </w:r>
      <w:r w:rsidR="00C419B2">
        <w:t>’</w:t>
      </w:r>
      <w:r w:rsidR="00BF439A">
        <w:t xml:space="preserve">une école à </w:t>
      </w:r>
      <w:r w:rsidR="00A3661F">
        <w:t>l</w:t>
      </w:r>
      <w:r w:rsidR="00C419B2">
        <w:t>’</w:t>
      </w:r>
      <w:r w:rsidR="00BF439A">
        <w:t>école</w:t>
      </w:r>
      <w:r w:rsidR="00A3661F">
        <w:t xml:space="preserve"> en cause</w:t>
      </w:r>
      <w:r w:rsidR="00BF439A">
        <w:t xml:space="preserve"> et </w:t>
      </w:r>
      <w:r w:rsidR="00A3661F">
        <w:t xml:space="preserve">que le transfert </w:t>
      </w:r>
      <w:r w:rsidR="00BF439A">
        <w:t>devait s</w:t>
      </w:r>
      <w:r w:rsidR="00C419B2">
        <w:t>’</w:t>
      </w:r>
      <w:r w:rsidR="00BF439A">
        <w:t xml:space="preserve">effectuer même </w:t>
      </w:r>
      <w:r w:rsidR="000F0560">
        <w:t>en l</w:t>
      </w:r>
      <w:r w:rsidR="00C419B2">
        <w:t>’</w:t>
      </w:r>
      <w:r w:rsidR="000F0560">
        <w:t>absence de</w:t>
      </w:r>
      <w:r w:rsidR="003033F2">
        <w:t xml:space="preserve"> </w:t>
      </w:r>
      <w:r w:rsidR="00BF439A">
        <w:t xml:space="preserve">demande des parents. </w:t>
      </w:r>
      <w:r w:rsidR="00E400F9">
        <w:t>Le médiateur reconnaissait que la préfecture n</w:t>
      </w:r>
      <w:r w:rsidR="00C419B2">
        <w:t>’</w:t>
      </w:r>
      <w:r w:rsidR="00E400F9">
        <w:t xml:space="preserve">était pas responsable de la non-application du décret mais </w:t>
      </w:r>
      <w:r w:rsidR="009A3E8A">
        <w:t>i</w:t>
      </w:r>
      <w:r w:rsidR="00E400F9">
        <w:t>l</w:t>
      </w:r>
      <w:r w:rsidR="009A3E8A">
        <w:t xml:space="preserve"> </w:t>
      </w:r>
      <w:r w:rsidR="00E400F9">
        <w:t xml:space="preserve">incitait </w:t>
      </w:r>
      <w:r w:rsidR="009A3E8A">
        <w:t xml:space="preserve">celle-ci </w:t>
      </w:r>
      <w:r w:rsidR="00E400F9">
        <w:t>à prendre en considération, dans l</w:t>
      </w:r>
      <w:r w:rsidR="00C419B2">
        <w:t>’</w:t>
      </w:r>
      <w:r w:rsidR="00E400F9">
        <w:t xml:space="preserve">exercice de ses fonctions, </w:t>
      </w:r>
      <w:r w:rsidR="009A3E8A">
        <w:t xml:space="preserve">le fait </w:t>
      </w:r>
      <w:r w:rsidR="00E400F9">
        <w:t>que la non-application du décret avait eu pour effet de transformer la 12</w:t>
      </w:r>
      <w:r w:rsidR="00E400F9" w:rsidRPr="00E400F9">
        <w:rPr>
          <w:vertAlign w:val="superscript"/>
        </w:rPr>
        <w:t>e</w:t>
      </w:r>
      <w:r w:rsidR="00E400F9">
        <w:t xml:space="preserve"> école en une </w:t>
      </w:r>
      <w:r w:rsidR="00C00A8E">
        <w:t>« </w:t>
      </w:r>
      <w:r w:rsidR="00E400F9">
        <w:t>école</w:t>
      </w:r>
      <w:r w:rsidR="00C00A8E">
        <w:t xml:space="preserve"> </w:t>
      </w:r>
      <w:r w:rsidR="00E400F9">
        <w:t>ghetto</w:t>
      </w:r>
      <w:r w:rsidR="00C00A8E">
        <w:t> »</w:t>
      </w:r>
      <w:r w:rsidR="00E400F9">
        <w:t>, compte tenu du fait qu</w:t>
      </w:r>
      <w:r w:rsidR="00C419B2">
        <w:t>’</w:t>
      </w:r>
      <w:r w:rsidR="00E400F9">
        <w:t xml:space="preserve">aucun </w:t>
      </w:r>
      <w:r w:rsidR="00A3661F">
        <w:t xml:space="preserve">élève non rom </w:t>
      </w:r>
      <w:r w:rsidR="00E400F9">
        <w:t>de la région n</w:t>
      </w:r>
      <w:r w:rsidR="00C419B2">
        <w:t>’</w:t>
      </w:r>
      <w:r w:rsidR="00E400F9">
        <w:t>y était inscrit.</w:t>
      </w:r>
    </w:p>
    <w:p w:rsidR="003033F2" w:rsidRDefault="00970717" w:rsidP="009A4473">
      <w:pPr>
        <w:pStyle w:val="JuPara"/>
      </w:pPr>
      <w:r>
        <w:fldChar w:fldCharType="begin"/>
      </w:r>
      <w:r>
        <w:instrText xml:space="preserve"> SEQ level0 \*arabic </w:instrText>
      </w:r>
      <w:r>
        <w:fldChar w:fldCharType="separate"/>
      </w:r>
      <w:r w:rsidR="00E555B3">
        <w:rPr>
          <w:noProof/>
        </w:rPr>
        <w:t>23</w:t>
      </w:r>
      <w:r>
        <w:fldChar w:fldCharType="end"/>
      </w:r>
      <w:r>
        <w:t>.  Le médiateur rappela</w:t>
      </w:r>
      <w:r w:rsidR="003033F2">
        <w:t xml:space="preserve"> </w:t>
      </w:r>
      <w:r w:rsidR="009A3E8A">
        <w:t xml:space="preserve">également </w:t>
      </w:r>
      <w:r w:rsidR="003033F2">
        <w:t>que le ministère de l</w:t>
      </w:r>
      <w:r w:rsidR="00C419B2">
        <w:t>’</w:t>
      </w:r>
      <w:r w:rsidR="003033F2">
        <w:t>Education était favorable à l</w:t>
      </w:r>
      <w:r w:rsidR="00C419B2">
        <w:t>’</w:t>
      </w:r>
      <w:r w:rsidR="003033F2">
        <w:t xml:space="preserve">intégration des élèves roms dans le système éducatif </w:t>
      </w:r>
      <w:r w:rsidR="00FA471C">
        <w:t xml:space="preserve">ordinaire </w:t>
      </w:r>
      <w:r w:rsidR="003033F2">
        <w:t>et qu</w:t>
      </w:r>
      <w:r w:rsidR="00C419B2">
        <w:t>’</w:t>
      </w:r>
      <w:r w:rsidR="003033F2">
        <w:t>une circulaire du 10 septembre 200</w:t>
      </w:r>
      <w:r w:rsidR="0058543F">
        <w:t>8</w:t>
      </w:r>
      <w:r w:rsidR="003033F2">
        <w:t>, intitulé</w:t>
      </w:r>
      <w:r w:rsidR="0058543F">
        <w:t>e</w:t>
      </w:r>
      <w:r w:rsidR="003033F2">
        <w:t xml:space="preserve"> « Inscription et scolarité des </w:t>
      </w:r>
      <w:r w:rsidR="009A3E8A">
        <w:t>R</w:t>
      </w:r>
      <w:r w:rsidR="003033F2">
        <w:t>oms » recommandait que</w:t>
      </w:r>
      <w:r w:rsidR="009A3E8A">
        <w:t>,</w:t>
      </w:r>
      <w:r w:rsidR="003033F2">
        <w:t xml:space="preserve"> dans c</w:t>
      </w:r>
      <w:r w:rsidR="0060257D">
        <w:t>haque classe</w:t>
      </w:r>
      <w:r w:rsidR="009A3E8A">
        <w:t>,</w:t>
      </w:r>
      <w:r w:rsidR="0060257D">
        <w:t xml:space="preserve"> le pourcentage d</w:t>
      </w:r>
      <w:r w:rsidR="00C419B2">
        <w:t>’</w:t>
      </w:r>
      <w:r w:rsidR="003033F2">
        <w:t>élèves d</w:t>
      </w:r>
      <w:r w:rsidR="00C419B2">
        <w:t>’</w:t>
      </w:r>
      <w:r w:rsidR="003033F2">
        <w:t>une autre culture ne dépass</w:t>
      </w:r>
      <w:r w:rsidR="009A3E8A">
        <w:t>ât pas</w:t>
      </w:r>
      <w:r w:rsidR="003033F2">
        <w:t xml:space="preserve"> 50</w:t>
      </w:r>
      <w:r w:rsidR="009A3E8A">
        <w:t xml:space="preserve"> </w:t>
      </w:r>
      <w:r w:rsidR="003033F2">
        <w:t>%.</w:t>
      </w:r>
    </w:p>
    <w:p w:rsidR="009A4473" w:rsidRDefault="00970717" w:rsidP="009A4473">
      <w:pPr>
        <w:pStyle w:val="JuPara"/>
      </w:pPr>
      <w:r>
        <w:fldChar w:fldCharType="begin"/>
      </w:r>
      <w:r>
        <w:instrText xml:space="preserve"> SEQ level0 \*arabic </w:instrText>
      </w:r>
      <w:r>
        <w:fldChar w:fldCharType="separate"/>
      </w:r>
      <w:r w:rsidR="00E555B3">
        <w:rPr>
          <w:noProof/>
        </w:rPr>
        <w:t>24</w:t>
      </w:r>
      <w:r>
        <w:fldChar w:fldCharType="end"/>
      </w:r>
      <w:r>
        <w:t>.  </w:t>
      </w:r>
      <w:r w:rsidR="00C42627">
        <w:t>Le médiateur</w:t>
      </w:r>
      <w:r w:rsidR="009A4473">
        <w:t xml:space="preserve"> </w:t>
      </w:r>
      <w:r>
        <w:t xml:space="preserve">affirma </w:t>
      </w:r>
      <w:r w:rsidR="009A4473">
        <w:t>qu</w:t>
      </w:r>
      <w:r w:rsidR="00C419B2">
        <w:t>’</w:t>
      </w:r>
      <w:r w:rsidR="009A4473">
        <w:t>il existait des problèmes d</w:t>
      </w:r>
      <w:r w:rsidR="00C419B2">
        <w:t>’</w:t>
      </w:r>
      <w:r w:rsidR="009A4473">
        <w:t xml:space="preserve">intolérance </w:t>
      </w:r>
      <w:r w:rsidR="006936B5">
        <w:t>de la part de la population non</w:t>
      </w:r>
      <w:r w:rsidR="009A3E8A">
        <w:t xml:space="preserve"> </w:t>
      </w:r>
      <w:r w:rsidR="009A4473">
        <w:t>rom et que l</w:t>
      </w:r>
      <w:r w:rsidR="00C419B2">
        <w:t>’</w:t>
      </w:r>
      <w:r w:rsidR="009A4473">
        <w:t>association des parents d</w:t>
      </w:r>
      <w:r w:rsidR="00C419B2">
        <w:t>’</w:t>
      </w:r>
      <w:r w:rsidR="009A4473">
        <w:t xml:space="preserve">élèves avait créé des problèmes en 2005. </w:t>
      </w:r>
      <w:r w:rsidR="00D82CF0">
        <w:t>Il reconnut que l</w:t>
      </w:r>
      <w:r w:rsidR="00C419B2">
        <w:t>’</w:t>
      </w:r>
      <w:r w:rsidR="00D82CF0">
        <w:t>annexe de la 10</w:t>
      </w:r>
      <w:r w:rsidR="00D82CF0" w:rsidRPr="00D82CF0">
        <w:rPr>
          <w:vertAlign w:val="superscript"/>
        </w:rPr>
        <w:t>e</w:t>
      </w:r>
      <w:r w:rsidR="00D82CF0">
        <w:t xml:space="preserve"> école, rebaptisé</w:t>
      </w:r>
      <w:r w:rsidR="009A3E8A">
        <w:t>e</w:t>
      </w:r>
      <w:r w:rsidR="00D82CF0">
        <w:t xml:space="preserve"> 12</w:t>
      </w:r>
      <w:r w:rsidR="00D82CF0" w:rsidRPr="00D82CF0">
        <w:rPr>
          <w:vertAlign w:val="superscript"/>
        </w:rPr>
        <w:t>e</w:t>
      </w:r>
      <w:r w:rsidR="00D82CF0">
        <w:t xml:space="preserve"> école, </w:t>
      </w:r>
      <w:r w:rsidR="009A3E8A">
        <w:t>avait été</w:t>
      </w:r>
      <w:r w:rsidR="00D82CF0">
        <w:t xml:space="preserve"> créée sous la pression des incidents </w:t>
      </w:r>
      <w:r w:rsidR="009A3E8A">
        <w:t xml:space="preserve">qui avaient été </w:t>
      </w:r>
      <w:r w:rsidR="00C42627">
        <w:t>provoqués par les parents d</w:t>
      </w:r>
      <w:r w:rsidR="00C419B2">
        <w:t>’</w:t>
      </w:r>
      <w:r w:rsidR="00C42627">
        <w:t>élèves non</w:t>
      </w:r>
      <w:r w:rsidR="009A3E8A">
        <w:t xml:space="preserve"> </w:t>
      </w:r>
      <w:r w:rsidR="00C42627">
        <w:t>roms et</w:t>
      </w:r>
      <w:r w:rsidR="00D82CF0">
        <w:t xml:space="preserve"> qui avaient conduit à</w:t>
      </w:r>
      <w:r w:rsidR="00C42627">
        <w:t xml:space="preserve"> la condamnation de la Grèce dans</w:t>
      </w:r>
      <w:r w:rsidR="00D82CF0">
        <w:t xml:space="preserve"> l</w:t>
      </w:r>
      <w:r w:rsidR="00C419B2">
        <w:t>’</w:t>
      </w:r>
      <w:r w:rsidR="00D82CF0">
        <w:t>arrêt</w:t>
      </w:r>
      <w:r w:rsidR="00627072">
        <w:t xml:space="preserve"> de la Cour</w:t>
      </w:r>
      <w:r w:rsidR="00D82CF0">
        <w:t xml:space="preserve"> </w:t>
      </w:r>
      <w:r w:rsidR="00D82CF0" w:rsidRPr="00D82CF0">
        <w:rPr>
          <w:i/>
        </w:rPr>
        <w:t>Sampanis et autres</w:t>
      </w:r>
      <w:r w:rsidR="00D82CF0">
        <w:t xml:space="preserve"> </w:t>
      </w:r>
      <w:r w:rsidR="00C42627">
        <w:t>(</w:t>
      </w:r>
      <w:r w:rsidR="00D82CF0">
        <w:t>précité</w:t>
      </w:r>
      <w:r w:rsidR="00C42627">
        <w:t>)</w:t>
      </w:r>
      <w:r w:rsidR="00D82CF0">
        <w:t xml:space="preserve">. </w:t>
      </w:r>
      <w:r w:rsidR="009A4473">
        <w:t xml:space="preserve">Il </w:t>
      </w:r>
      <w:r w:rsidR="00C42627">
        <w:t>souligna que le maintien de la décision refus</w:t>
      </w:r>
      <w:r w:rsidR="009A3E8A">
        <w:t>ant</w:t>
      </w:r>
      <w:r w:rsidR="00C42627">
        <w:t xml:space="preserve"> d</w:t>
      </w:r>
      <w:r w:rsidR="00C419B2">
        <w:t>’</w:t>
      </w:r>
      <w:r w:rsidR="009A4473">
        <w:t xml:space="preserve">autoriser </w:t>
      </w:r>
      <w:r w:rsidR="00AC38FE">
        <w:t xml:space="preserve">la fusion </w:t>
      </w:r>
      <w:r w:rsidR="009A4473">
        <w:t>de</w:t>
      </w:r>
      <w:r w:rsidR="009A3E8A">
        <w:t xml:space="preserve"> la</w:t>
      </w:r>
      <w:r w:rsidR="009A4473">
        <w:t xml:space="preserve"> 12</w:t>
      </w:r>
      <w:r w:rsidR="009A4473" w:rsidRPr="0014741C">
        <w:rPr>
          <w:vertAlign w:val="superscript"/>
        </w:rPr>
        <w:t>e</w:t>
      </w:r>
      <w:r w:rsidR="00C42627">
        <w:t xml:space="preserve">  </w:t>
      </w:r>
      <w:r w:rsidR="00AC38FE">
        <w:t>et</w:t>
      </w:r>
      <w:r w:rsidR="009A4473">
        <w:t xml:space="preserve"> </w:t>
      </w:r>
      <w:r w:rsidR="009A3E8A">
        <w:t xml:space="preserve">de la </w:t>
      </w:r>
      <w:r w:rsidR="009A4473">
        <w:t>11</w:t>
      </w:r>
      <w:r w:rsidR="009A4473" w:rsidRPr="0014741C">
        <w:rPr>
          <w:vertAlign w:val="superscript"/>
        </w:rPr>
        <w:t>e</w:t>
      </w:r>
      <w:r w:rsidR="009A4473">
        <w:t xml:space="preserve"> </w:t>
      </w:r>
      <w:r w:rsidR="000D4656">
        <w:t>école constitu</w:t>
      </w:r>
      <w:r w:rsidR="00C42627">
        <w:t>ait une discrimination injustifiée à l</w:t>
      </w:r>
      <w:r w:rsidR="00C419B2">
        <w:t>’</w:t>
      </w:r>
      <w:r w:rsidR="00C42627">
        <w:t xml:space="preserve">égard des élèves </w:t>
      </w:r>
      <w:r w:rsidR="00B667E4">
        <w:t>roms,</w:t>
      </w:r>
      <w:r w:rsidR="00C42627">
        <w:t xml:space="preserve"> </w:t>
      </w:r>
      <w:r w:rsidR="000D4656">
        <w:t>car il l</w:t>
      </w:r>
      <w:r w:rsidR="00C42627">
        <w:t>es empêcha</w:t>
      </w:r>
      <w:r w:rsidR="009A3E8A">
        <w:t>i</w:t>
      </w:r>
      <w:r w:rsidR="00C42627">
        <w:t xml:space="preserve">t de </w:t>
      </w:r>
      <w:r w:rsidR="007F4A0F">
        <w:t>se fondre dans</w:t>
      </w:r>
      <w:r w:rsidR="009A1F1A">
        <w:t xml:space="preserve"> l</w:t>
      </w:r>
      <w:r w:rsidR="00C419B2">
        <w:t>’</w:t>
      </w:r>
      <w:r w:rsidR="009A1F1A">
        <w:t>environnement culturel de la région</w:t>
      </w:r>
      <w:r w:rsidR="002A125D">
        <w:t xml:space="preserve"> et était </w:t>
      </w:r>
      <w:r w:rsidR="00645DEB">
        <w:t xml:space="preserve">motivé </w:t>
      </w:r>
      <w:r w:rsidR="002A125D">
        <w:t>uniquement par</w:t>
      </w:r>
      <w:r w:rsidR="00507151">
        <w:t xml:space="preserve"> le souci du préfet d</w:t>
      </w:r>
      <w:r w:rsidR="00C419B2">
        <w:t>’</w:t>
      </w:r>
      <w:r w:rsidR="00507151">
        <w:t>éviter de nouveaux</w:t>
      </w:r>
      <w:r w:rsidR="002A125D">
        <w:t xml:space="preserve"> incidents</w:t>
      </w:r>
      <w:r w:rsidR="00507151">
        <w:t>, cette fois</w:t>
      </w:r>
      <w:r w:rsidR="002A125D">
        <w:t xml:space="preserve"> de la part des parents d</w:t>
      </w:r>
      <w:r w:rsidR="00C419B2">
        <w:t>’</w:t>
      </w:r>
      <w:r w:rsidR="002A125D">
        <w:t>élèves de la 11</w:t>
      </w:r>
      <w:r w:rsidR="002A125D" w:rsidRPr="002A125D">
        <w:rPr>
          <w:vertAlign w:val="superscript"/>
        </w:rPr>
        <w:t>e</w:t>
      </w:r>
      <w:r w:rsidR="002A125D">
        <w:t xml:space="preserve"> école.</w:t>
      </w:r>
    </w:p>
    <w:p w:rsidR="009A4473" w:rsidRDefault="00970717" w:rsidP="009A4473">
      <w:pPr>
        <w:pStyle w:val="JuPara"/>
      </w:pPr>
      <w:r>
        <w:fldChar w:fldCharType="begin"/>
      </w:r>
      <w:r>
        <w:instrText xml:space="preserve"> SEQ level0 \*arabic </w:instrText>
      </w:r>
      <w:r>
        <w:fldChar w:fldCharType="separate"/>
      </w:r>
      <w:r w:rsidR="00E555B3">
        <w:rPr>
          <w:noProof/>
        </w:rPr>
        <w:t>25</w:t>
      </w:r>
      <w:r>
        <w:fldChar w:fldCharType="end"/>
      </w:r>
      <w:r>
        <w:t>.  </w:t>
      </w:r>
      <w:r w:rsidR="009A4473">
        <w:t xml:space="preserve">Le 17 mars 2009, le </w:t>
      </w:r>
      <w:r w:rsidR="00627072">
        <w:t>direct</w:t>
      </w:r>
      <w:r w:rsidR="009A4473">
        <w:t>eur de la 12</w:t>
      </w:r>
      <w:r w:rsidR="009A4473" w:rsidRPr="00B04E5C">
        <w:rPr>
          <w:vertAlign w:val="superscript"/>
        </w:rPr>
        <w:t>e</w:t>
      </w:r>
      <w:r w:rsidR="009A4473">
        <w:t xml:space="preserve"> école </w:t>
      </w:r>
      <w:r w:rsidR="00627072">
        <w:t>écrivit</w:t>
      </w:r>
      <w:r w:rsidR="009A4473">
        <w:t xml:space="preserve"> au maire d</w:t>
      </w:r>
      <w:r w:rsidR="00C419B2">
        <w:t>’</w:t>
      </w:r>
      <w:r w:rsidR="009A4473">
        <w:t>Aspropyrgos</w:t>
      </w:r>
      <w:r w:rsidR="00627072">
        <w:t>,</w:t>
      </w:r>
      <w:r w:rsidR="009A4473">
        <w:t xml:space="preserve"> l</w:t>
      </w:r>
      <w:r w:rsidR="00C419B2">
        <w:t>’</w:t>
      </w:r>
      <w:r w:rsidR="009A4473">
        <w:t>invitant à équiper d</w:t>
      </w:r>
      <w:r w:rsidR="00C419B2">
        <w:t>’</w:t>
      </w:r>
      <w:r w:rsidR="009A4473">
        <w:t xml:space="preserve">eau courante le camp de </w:t>
      </w:r>
      <w:r w:rsidR="00B667E4">
        <w:t>Roms,</w:t>
      </w:r>
      <w:r w:rsidR="009A4473">
        <w:t xml:space="preserve"> car</w:t>
      </w:r>
      <w:r w:rsidR="00627072">
        <w:t>, selon lui,</w:t>
      </w:r>
      <w:r w:rsidR="009A4473">
        <w:t xml:space="preserve"> </w:t>
      </w:r>
      <w:r w:rsidR="00171004">
        <w:t>l</w:t>
      </w:r>
      <w:r w:rsidR="00C419B2">
        <w:t>’</w:t>
      </w:r>
      <w:r w:rsidR="00171004">
        <w:t>absence d</w:t>
      </w:r>
      <w:r w:rsidR="00C419B2">
        <w:t>’</w:t>
      </w:r>
      <w:r w:rsidR="00171004">
        <w:t xml:space="preserve">installations influait négativement sur </w:t>
      </w:r>
      <w:r w:rsidR="009A4473">
        <w:t xml:space="preserve">la santé et la propreté des élèves, et par conséquent </w:t>
      </w:r>
      <w:r w:rsidR="00171004">
        <w:t xml:space="preserve">sur </w:t>
      </w:r>
      <w:r w:rsidR="009A4473">
        <w:t xml:space="preserve">leur capacité à poursuivre leur scolarité. Par une </w:t>
      </w:r>
      <w:r w:rsidR="00171004">
        <w:t>répons</w:t>
      </w:r>
      <w:r w:rsidR="009A4473">
        <w:t>e du 31 mars</w:t>
      </w:r>
      <w:r w:rsidR="00171004">
        <w:t xml:space="preserve"> 2009</w:t>
      </w:r>
      <w:r w:rsidR="009A4473">
        <w:t xml:space="preserve">, le maire rejeta la demande au motif que les propriétaires du terrain sur lequel les </w:t>
      </w:r>
      <w:r w:rsidR="00171004">
        <w:t>R</w:t>
      </w:r>
      <w:r w:rsidR="009A4473">
        <w:t xml:space="preserve">oms étaient installés </w:t>
      </w:r>
      <w:r w:rsidR="00171004">
        <w:t>essayaient d</w:t>
      </w:r>
      <w:r w:rsidR="00C419B2">
        <w:t>’</w:t>
      </w:r>
      <w:r w:rsidR="00171004">
        <w:t>obtenir l</w:t>
      </w:r>
      <w:r w:rsidR="00C419B2">
        <w:t>’</w:t>
      </w:r>
      <w:r w:rsidR="00171004">
        <w:t xml:space="preserve">expulsion de ceux-ci et </w:t>
      </w:r>
      <w:r w:rsidR="009A4473">
        <w:t>l</w:t>
      </w:r>
      <w:r w:rsidR="00C419B2">
        <w:t>’</w:t>
      </w:r>
      <w:r w:rsidR="009A4473">
        <w:t>avaient menacé de poursuites s</w:t>
      </w:r>
      <w:r w:rsidR="00C419B2">
        <w:t>’</w:t>
      </w:r>
      <w:r w:rsidR="009A4473">
        <w:t xml:space="preserve">il accueillait </w:t>
      </w:r>
      <w:r w:rsidR="00171004">
        <w:t>la</w:t>
      </w:r>
      <w:r w:rsidR="009A4473">
        <w:t xml:space="preserve"> demande</w:t>
      </w:r>
      <w:r w:rsidR="00171004">
        <w:t xml:space="preserve"> en question</w:t>
      </w:r>
      <w:r w:rsidR="009A4473">
        <w:t>.</w:t>
      </w:r>
    </w:p>
    <w:p w:rsidR="009A4473" w:rsidRDefault="00970717" w:rsidP="009A4473">
      <w:pPr>
        <w:pStyle w:val="JuPara"/>
      </w:pPr>
      <w:r>
        <w:fldChar w:fldCharType="begin"/>
      </w:r>
      <w:r>
        <w:instrText xml:space="preserve"> SEQ level0 \*arabic </w:instrText>
      </w:r>
      <w:r>
        <w:fldChar w:fldCharType="separate"/>
      </w:r>
      <w:r w:rsidR="00E555B3">
        <w:rPr>
          <w:noProof/>
        </w:rPr>
        <w:t>26</w:t>
      </w:r>
      <w:r>
        <w:fldChar w:fldCharType="end"/>
      </w:r>
      <w:r>
        <w:t>.  </w:t>
      </w:r>
      <w:r w:rsidR="009A4473">
        <w:t xml:space="preserve">Le 30 mai et </w:t>
      </w:r>
      <w:r w:rsidR="008726F4">
        <w:t xml:space="preserve">le </w:t>
      </w:r>
      <w:r w:rsidR="009A4473">
        <w:t>20 juillet 2009, les requérants adressèrent deux lettres aux services compétents du ministère de l</w:t>
      </w:r>
      <w:r w:rsidR="00C419B2">
        <w:t>’</w:t>
      </w:r>
      <w:r w:rsidR="009A4473">
        <w:t>Education</w:t>
      </w:r>
      <w:r w:rsidR="008726F4">
        <w:t xml:space="preserve"> et </w:t>
      </w:r>
      <w:r w:rsidR="009A4473">
        <w:t>au ministre lui-même, les invitant à autoriser les enfants roms à fréquenter la 10</w:t>
      </w:r>
      <w:r w:rsidR="009A4473" w:rsidRPr="00341572">
        <w:rPr>
          <w:vertAlign w:val="superscript"/>
        </w:rPr>
        <w:t>e</w:t>
      </w:r>
      <w:r w:rsidR="009A4473">
        <w:t xml:space="preserve"> école et à établir pour eux un programme d</w:t>
      </w:r>
      <w:r w:rsidR="00C419B2">
        <w:t>’</w:t>
      </w:r>
      <w:r w:rsidR="009A4473">
        <w:t>études qui a</w:t>
      </w:r>
      <w:r w:rsidR="008726F4">
        <w:t>ur</w:t>
      </w:r>
      <w:r w:rsidR="009A4473">
        <w:t xml:space="preserve">ait été conçu pour les </w:t>
      </w:r>
      <w:r w:rsidR="005F13F4">
        <w:t>R</w:t>
      </w:r>
      <w:r w:rsidR="009A4473">
        <w:t>oms musulmans de Thrace et qui s</w:t>
      </w:r>
      <w:r w:rsidR="008726F4">
        <w:t>e serait</w:t>
      </w:r>
      <w:r w:rsidR="009A4473">
        <w:t xml:space="preserve"> révélé efficace. </w:t>
      </w:r>
      <w:r w:rsidR="008726F4">
        <w:t>I</w:t>
      </w:r>
      <w:r w:rsidR="009A4473">
        <w:t>ls ne reçurent aucune réponse.</w:t>
      </w:r>
    </w:p>
    <w:p w:rsidR="009A4473" w:rsidRDefault="00970717" w:rsidP="009A4473">
      <w:pPr>
        <w:pStyle w:val="JuPara"/>
      </w:pPr>
      <w:r>
        <w:fldChar w:fldCharType="begin"/>
      </w:r>
      <w:r>
        <w:instrText xml:space="preserve"> SEQ level0 \*arabic </w:instrText>
      </w:r>
      <w:r>
        <w:fldChar w:fldCharType="separate"/>
      </w:r>
      <w:r w:rsidR="00E555B3">
        <w:rPr>
          <w:noProof/>
        </w:rPr>
        <w:t>27</w:t>
      </w:r>
      <w:r>
        <w:fldChar w:fldCharType="end"/>
      </w:r>
      <w:r>
        <w:t>.  </w:t>
      </w:r>
      <w:r w:rsidR="009A4473">
        <w:t xml:space="preserve">Le 11 juin 2009, le </w:t>
      </w:r>
      <w:r w:rsidR="00627072">
        <w:t>direct</w:t>
      </w:r>
      <w:r w:rsidR="009A4473">
        <w:t>eur de la 12</w:t>
      </w:r>
      <w:r w:rsidR="009A4473" w:rsidRPr="00B37C0C">
        <w:rPr>
          <w:vertAlign w:val="superscript"/>
        </w:rPr>
        <w:t>e</w:t>
      </w:r>
      <w:r w:rsidR="009A4473">
        <w:t xml:space="preserve"> école informa les services du ministère de l</w:t>
      </w:r>
      <w:r w:rsidR="00C419B2">
        <w:t>’</w:t>
      </w:r>
      <w:r w:rsidR="009A4473">
        <w:t xml:space="preserve">Education que les livres scolaires étaient inappropriés pour les </w:t>
      </w:r>
      <w:r w:rsidR="00CD7077">
        <w:t>R</w:t>
      </w:r>
      <w:r w:rsidR="009A4473">
        <w:t>oms dont la langue maternelle n</w:t>
      </w:r>
      <w:r w:rsidR="00C419B2">
        <w:t>’</w:t>
      </w:r>
      <w:r w:rsidR="009A4473">
        <w:t>était pas le grec.</w:t>
      </w:r>
    </w:p>
    <w:p w:rsidR="009A4473" w:rsidRDefault="00970717" w:rsidP="009A4473">
      <w:pPr>
        <w:pStyle w:val="JuPara"/>
      </w:pPr>
      <w:r>
        <w:fldChar w:fldCharType="begin"/>
      </w:r>
      <w:r>
        <w:instrText xml:space="preserve"> SEQ level0 \*arabic </w:instrText>
      </w:r>
      <w:r>
        <w:fldChar w:fldCharType="separate"/>
      </w:r>
      <w:r w:rsidR="00E555B3">
        <w:rPr>
          <w:noProof/>
        </w:rPr>
        <w:t>28</w:t>
      </w:r>
      <w:r>
        <w:fldChar w:fldCharType="end"/>
      </w:r>
      <w:r>
        <w:t>.  </w:t>
      </w:r>
      <w:r w:rsidR="009A4473">
        <w:t xml:space="preserve">Le 23 juillet 2009, le médiateur écrivit </w:t>
      </w:r>
      <w:r w:rsidR="004300EC">
        <w:t xml:space="preserve">à nouveau </w:t>
      </w:r>
      <w:r w:rsidR="009A4473">
        <w:t>au ministère de l</w:t>
      </w:r>
      <w:r w:rsidR="00C419B2">
        <w:t>’</w:t>
      </w:r>
      <w:r w:rsidR="009A4473">
        <w:t>Education</w:t>
      </w:r>
      <w:r w:rsidR="004300EC">
        <w:t xml:space="preserve">. Il </w:t>
      </w:r>
      <w:r w:rsidR="00D54F7C">
        <w:t>informa</w:t>
      </w:r>
      <w:r w:rsidR="00ED22C8">
        <w:t>it celui-ci</w:t>
      </w:r>
      <w:r w:rsidR="009A4473">
        <w:t xml:space="preserve"> que le préfet</w:t>
      </w:r>
      <w:r w:rsidR="00D54F7C">
        <w:t>,</w:t>
      </w:r>
      <w:r w:rsidR="009A4473">
        <w:t xml:space="preserve"> </w:t>
      </w:r>
      <w:r w:rsidR="004300EC">
        <w:t>qui avait</w:t>
      </w:r>
      <w:r w:rsidR="00D54F7C">
        <w:t>, le 17 octobre 2008,</w:t>
      </w:r>
      <w:r w:rsidR="004300EC">
        <w:t xml:space="preserve"> </w:t>
      </w:r>
      <w:r w:rsidR="00D54F7C">
        <w:t>refusé</w:t>
      </w:r>
      <w:r w:rsidR="004300EC">
        <w:t xml:space="preserve"> d</w:t>
      </w:r>
      <w:r w:rsidR="00C419B2">
        <w:t>’</w:t>
      </w:r>
      <w:r w:rsidR="004300EC">
        <w:t xml:space="preserve">autoriser </w:t>
      </w:r>
      <w:r w:rsidR="00AC38FE">
        <w:t xml:space="preserve">la fusion </w:t>
      </w:r>
      <w:r w:rsidR="006C2FE9">
        <w:t>des</w:t>
      </w:r>
      <w:r w:rsidR="00AC38FE">
        <w:t xml:space="preserve"> </w:t>
      </w:r>
      <w:r w:rsidR="004300EC">
        <w:t>12</w:t>
      </w:r>
      <w:r w:rsidR="004300EC" w:rsidRPr="0017373C">
        <w:rPr>
          <w:vertAlign w:val="superscript"/>
        </w:rPr>
        <w:t>e</w:t>
      </w:r>
      <w:r w:rsidR="004300EC">
        <w:t xml:space="preserve"> </w:t>
      </w:r>
      <w:r w:rsidR="00AC38FE">
        <w:t>et</w:t>
      </w:r>
      <w:r w:rsidR="006C2FE9">
        <w:t xml:space="preserve"> </w:t>
      </w:r>
      <w:r w:rsidR="004300EC">
        <w:t>11</w:t>
      </w:r>
      <w:r w:rsidR="004300EC" w:rsidRPr="0017373C">
        <w:rPr>
          <w:vertAlign w:val="superscript"/>
        </w:rPr>
        <w:t>e</w:t>
      </w:r>
      <w:r w:rsidR="00AC38FE">
        <w:t> école</w:t>
      </w:r>
      <w:r w:rsidR="006C2FE9">
        <w:t>s</w:t>
      </w:r>
      <w:r w:rsidR="00AC38FE">
        <w:t>,</w:t>
      </w:r>
      <w:r w:rsidR="00D54F7C">
        <w:t xml:space="preserve"> </w:t>
      </w:r>
      <w:r w:rsidR="00AC38FE">
        <w:t xml:space="preserve">ne souhaitait pas </w:t>
      </w:r>
      <w:r w:rsidR="00D54F7C">
        <w:t>revenir sur cette décision. Il soulignait que le fonctionnement de cette école</w:t>
      </w:r>
      <w:r w:rsidR="006F322D">
        <w:t xml:space="preserve"> </w:t>
      </w:r>
      <w:r w:rsidR="00D54F7C">
        <w:t>ghetto réservée aux élèves roms était contraire à la position du ministère</w:t>
      </w:r>
      <w:r w:rsidR="00A3661F">
        <w:t>,</w:t>
      </w:r>
      <w:r w:rsidR="00D54F7C">
        <w:t xml:space="preserve"> </w:t>
      </w:r>
      <w:r w:rsidR="00ED22C8">
        <w:t xml:space="preserve">défavorable aux </w:t>
      </w:r>
      <w:r w:rsidR="00A7272D">
        <w:t>écoles « exclusivement réservées aux élèves t</w:t>
      </w:r>
      <w:r w:rsidR="006C2FE9">
        <w:t>s</w:t>
      </w:r>
      <w:r w:rsidR="00A7272D">
        <w:t xml:space="preserve">iganes ». Il se prévalait de la lettre </w:t>
      </w:r>
      <w:r w:rsidR="006C2FE9">
        <w:t xml:space="preserve">du 8 septembre 2008 </w:t>
      </w:r>
      <w:r w:rsidR="00A7272D">
        <w:t>du directeur de la 12</w:t>
      </w:r>
      <w:r w:rsidR="00A7272D" w:rsidRPr="00A7272D">
        <w:rPr>
          <w:vertAlign w:val="superscript"/>
        </w:rPr>
        <w:t>e</w:t>
      </w:r>
      <w:r w:rsidR="00A7272D">
        <w:t xml:space="preserve"> école, </w:t>
      </w:r>
      <w:r w:rsidR="006C2FE9">
        <w:t>selon laquelle</w:t>
      </w:r>
      <w:r w:rsidR="00911B68">
        <w:t xml:space="preserve"> l</w:t>
      </w:r>
      <w:r w:rsidR="00C419B2">
        <w:t>’</w:t>
      </w:r>
      <w:r w:rsidR="00ED22C8">
        <w:t>état d</w:t>
      </w:r>
      <w:r w:rsidR="00911B68">
        <w:t xml:space="preserve">es installations </w:t>
      </w:r>
      <w:r w:rsidR="00ED22C8">
        <w:t>n</w:t>
      </w:r>
      <w:r w:rsidR="00C419B2">
        <w:t>’</w:t>
      </w:r>
      <w:r w:rsidR="00ED22C8">
        <w:t>aurait pas permis de couvrir</w:t>
      </w:r>
      <w:r w:rsidR="00911B68">
        <w:t xml:space="preserve"> les besoins élémentaires d</w:t>
      </w:r>
      <w:r w:rsidR="00C419B2">
        <w:t>’</w:t>
      </w:r>
      <w:r w:rsidR="00911B68">
        <w:t xml:space="preserve">une école et </w:t>
      </w:r>
      <w:r w:rsidR="00ED22C8">
        <w:t xml:space="preserve">aurait </w:t>
      </w:r>
      <w:r w:rsidR="00911B68">
        <w:t>m</w:t>
      </w:r>
      <w:r w:rsidR="00ED22C8">
        <w:t>is</w:t>
      </w:r>
      <w:r w:rsidR="00911B68">
        <w:t xml:space="preserve"> en péril la sécurité des élèves </w:t>
      </w:r>
      <w:r w:rsidR="00911B68" w:rsidRPr="00ED22C8">
        <w:t>et du personnel enseignant.</w:t>
      </w:r>
      <w:r w:rsidR="00ED22C8">
        <w:t xml:space="preserve"> Il ajoutait que l</w:t>
      </w:r>
      <w:r w:rsidR="00911B68" w:rsidRPr="00ED22C8">
        <w:t>es besoins ne pouvaient pas être satisfaits par</w:t>
      </w:r>
      <w:r w:rsidR="00911B68">
        <w:t xml:space="preserve"> la mairie d</w:t>
      </w:r>
      <w:r w:rsidR="00C419B2">
        <w:t>’</w:t>
      </w:r>
      <w:r w:rsidR="00911B68">
        <w:t>Aspropyrgos qui a</w:t>
      </w:r>
      <w:r w:rsidR="00ED22C8">
        <w:t>ur</w:t>
      </w:r>
      <w:r w:rsidR="00911B68">
        <w:t xml:space="preserve">ait ouvertement déclaré, le </w:t>
      </w:r>
      <w:r w:rsidR="00ED22C8">
        <w:t>26 </w:t>
      </w:r>
      <w:r w:rsidR="00911B68">
        <w:t>septembre 200</w:t>
      </w:r>
      <w:r w:rsidR="005509B0">
        <w:t>8</w:t>
      </w:r>
      <w:r w:rsidR="00911B68">
        <w:t xml:space="preserve">, que les enfants roms </w:t>
      </w:r>
      <w:r w:rsidR="00FA3E2B">
        <w:t>« os</w:t>
      </w:r>
      <w:r w:rsidR="00ED22C8">
        <w:t>[</w:t>
      </w:r>
      <w:r w:rsidR="00FA3E2B">
        <w:t>aient</w:t>
      </w:r>
      <w:r w:rsidR="00ED22C8">
        <w:t>]</w:t>
      </w:r>
      <w:r w:rsidR="00FA3E2B">
        <w:t xml:space="preserve"> </w:t>
      </w:r>
      <w:r w:rsidR="00911B68">
        <w:t xml:space="preserve">exiger de partager les mêmes </w:t>
      </w:r>
      <w:r w:rsidR="00FA3E2B">
        <w:t xml:space="preserve">salles de classe </w:t>
      </w:r>
      <w:r w:rsidR="00911B68">
        <w:t>que les autres élèves d</w:t>
      </w:r>
      <w:r w:rsidR="00C419B2">
        <w:t>’</w:t>
      </w:r>
      <w:r w:rsidR="00911B68">
        <w:t>Aspropyrgos ».</w:t>
      </w:r>
      <w:r w:rsidR="00411316">
        <w:t xml:space="preserve"> Il soulignait que </w:t>
      </w:r>
      <w:r w:rsidR="000C0F1B">
        <w:t>le maire avai</w:t>
      </w:r>
      <w:r w:rsidR="00ED22C8">
        <w:t>t ignoré</w:t>
      </w:r>
      <w:r w:rsidR="000C0F1B">
        <w:t xml:space="preserve"> </w:t>
      </w:r>
      <w:r w:rsidR="00ED22C8">
        <w:t xml:space="preserve">une </w:t>
      </w:r>
      <w:r w:rsidR="000C0F1B">
        <w:t xml:space="preserve">invitation des autorités régionales du ministère </w:t>
      </w:r>
      <w:r w:rsidR="00ED22C8" w:rsidRPr="00ED22C8">
        <w:t>à</w:t>
      </w:r>
      <w:r w:rsidR="000C0F1B" w:rsidRPr="00ED22C8">
        <w:t xml:space="preserve"> « faire le nécessaire pour </w:t>
      </w:r>
      <w:r w:rsidR="00ED22C8" w:rsidRPr="00ED22C8">
        <w:t xml:space="preserve">la remise en état </w:t>
      </w:r>
      <w:r w:rsidR="000C0F1B" w:rsidRPr="00ED22C8">
        <w:t>immédiat</w:t>
      </w:r>
      <w:r w:rsidR="00ED22C8" w:rsidRPr="00ED22C8">
        <w:t>e</w:t>
      </w:r>
      <w:r w:rsidR="00CC30BB" w:rsidRPr="00ED22C8">
        <w:t> »</w:t>
      </w:r>
      <w:r w:rsidR="000C0F1B" w:rsidRPr="00ED22C8">
        <w:t xml:space="preserve"> de la 12</w:t>
      </w:r>
      <w:r w:rsidR="000C0F1B" w:rsidRPr="00ED22C8">
        <w:rPr>
          <w:vertAlign w:val="superscript"/>
        </w:rPr>
        <w:t>e</w:t>
      </w:r>
      <w:r w:rsidR="000C0F1B" w:rsidRPr="00ED22C8">
        <w:t xml:space="preserve"> école. </w:t>
      </w:r>
      <w:r w:rsidR="009A4473" w:rsidRPr="00ED22C8">
        <w:t>Il</w:t>
      </w:r>
      <w:r w:rsidR="009A4473">
        <w:t xml:space="preserve"> </w:t>
      </w:r>
      <w:r w:rsidR="000C0F1B">
        <w:t>attirait l</w:t>
      </w:r>
      <w:r w:rsidR="00C419B2">
        <w:t>’</w:t>
      </w:r>
      <w:r w:rsidR="000C0F1B">
        <w:t xml:space="preserve">attention sur le fait </w:t>
      </w:r>
      <w:r w:rsidR="009A4473">
        <w:t xml:space="preserve">que </w:t>
      </w:r>
      <w:r w:rsidR="000C0F1B">
        <w:t>l</w:t>
      </w:r>
      <w:r w:rsidR="009A4473">
        <w:t xml:space="preserve">a Grèce </w:t>
      </w:r>
      <w:r w:rsidR="000C0F1B">
        <w:t xml:space="preserve">était </w:t>
      </w:r>
      <w:r w:rsidR="00A3661F">
        <w:t>« </w:t>
      </w:r>
      <w:r w:rsidR="000C0F1B">
        <w:t>sous contrôle</w:t>
      </w:r>
      <w:r w:rsidR="00A3661F">
        <w:t> »</w:t>
      </w:r>
      <w:r w:rsidR="000C0F1B">
        <w:t xml:space="preserve"> dans le cadre de l</w:t>
      </w:r>
      <w:r w:rsidR="00C419B2">
        <w:t>’</w:t>
      </w:r>
      <w:r w:rsidR="000C0F1B">
        <w:t>exécution de</w:t>
      </w:r>
      <w:r w:rsidR="009A4473">
        <w:t xml:space="preserve"> l</w:t>
      </w:r>
      <w:r w:rsidR="00C419B2">
        <w:t>’</w:t>
      </w:r>
      <w:r w:rsidR="009A4473">
        <w:t xml:space="preserve">arrêt </w:t>
      </w:r>
      <w:r w:rsidR="009A4473" w:rsidRPr="00097C68">
        <w:rPr>
          <w:i/>
        </w:rPr>
        <w:t>Sampanis et autres</w:t>
      </w:r>
      <w:r w:rsidR="009A4473">
        <w:t xml:space="preserve"> </w:t>
      </w:r>
      <w:r w:rsidR="000C0F1B">
        <w:t>et qu</w:t>
      </w:r>
      <w:r w:rsidR="00C419B2">
        <w:t>’</w:t>
      </w:r>
      <w:r w:rsidR="000C0F1B">
        <w:t>elle n</w:t>
      </w:r>
      <w:r w:rsidR="00C419B2">
        <w:t>’</w:t>
      </w:r>
      <w:r w:rsidR="000C0F1B">
        <w:t>avait pas fait jusqu</w:t>
      </w:r>
      <w:r w:rsidR="00C419B2">
        <w:t>’</w:t>
      </w:r>
      <w:r w:rsidR="000C0F1B">
        <w:t>alors preuve de progrès à ce sujet.</w:t>
      </w:r>
    </w:p>
    <w:p w:rsidR="006936B5" w:rsidRDefault="00970717" w:rsidP="009A4473">
      <w:pPr>
        <w:pStyle w:val="JuPara"/>
      </w:pPr>
      <w:r>
        <w:fldChar w:fldCharType="begin"/>
      </w:r>
      <w:r>
        <w:instrText xml:space="preserve"> SEQ level0 \*arabic </w:instrText>
      </w:r>
      <w:r>
        <w:fldChar w:fldCharType="separate"/>
      </w:r>
      <w:r w:rsidR="00E555B3">
        <w:rPr>
          <w:noProof/>
        </w:rPr>
        <w:t>29</w:t>
      </w:r>
      <w:r>
        <w:fldChar w:fldCharType="end"/>
      </w:r>
      <w:r>
        <w:t>.  </w:t>
      </w:r>
      <w:r w:rsidR="006936B5">
        <w:t>Le 1</w:t>
      </w:r>
      <w:r w:rsidR="006936B5" w:rsidRPr="006936B5">
        <w:rPr>
          <w:vertAlign w:val="superscript"/>
        </w:rPr>
        <w:t>er</w:t>
      </w:r>
      <w:r w:rsidR="006936B5">
        <w:t xml:space="preserve"> août 2009, les requérants portèrent plainte avec constitution de partie civile contre les directions de la 10</w:t>
      </w:r>
      <w:r w:rsidR="0040708D" w:rsidRPr="0040708D">
        <w:rPr>
          <w:vertAlign w:val="superscript"/>
        </w:rPr>
        <w:t>e</w:t>
      </w:r>
      <w:r w:rsidR="0040708D">
        <w:t xml:space="preserve"> </w:t>
      </w:r>
      <w:r w:rsidR="006936B5">
        <w:t>et de la 12</w:t>
      </w:r>
      <w:r w:rsidR="0040708D" w:rsidRPr="0040708D">
        <w:rPr>
          <w:vertAlign w:val="superscript"/>
        </w:rPr>
        <w:t>e</w:t>
      </w:r>
      <w:r w:rsidR="0040708D">
        <w:t xml:space="preserve"> </w:t>
      </w:r>
      <w:r w:rsidR="006936B5">
        <w:t>école pour manquement au</w:t>
      </w:r>
      <w:r w:rsidR="006C2FE9">
        <w:t>x</w:t>
      </w:r>
      <w:r w:rsidR="006936B5">
        <w:t xml:space="preserve"> devoir</w:t>
      </w:r>
      <w:r w:rsidR="006C2FE9">
        <w:t>s</w:t>
      </w:r>
      <w:r w:rsidR="006936B5">
        <w:t xml:space="preserve"> de la fonction. L</w:t>
      </w:r>
      <w:r w:rsidR="00C419B2">
        <w:t>’</w:t>
      </w:r>
      <w:r w:rsidR="006936B5">
        <w:t>examen de la plainte était enco</w:t>
      </w:r>
      <w:r w:rsidR="00130E51">
        <w:t>re pendant</w:t>
      </w:r>
      <w:r w:rsidR="0040708D">
        <w:t xml:space="preserve"> à la date du dépôt à la Cour</w:t>
      </w:r>
      <w:r w:rsidR="006C2FE9">
        <w:t>,</w:t>
      </w:r>
      <w:r w:rsidR="006C2FE9" w:rsidRPr="006C2FE9">
        <w:t xml:space="preserve"> </w:t>
      </w:r>
      <w:r w:rsidR="006C2FE9">
        <w:t>le 1</w:t>
      </w:r>
      <w:r w:rsidR="009202F2">
        <w:t>0</w:t>
      </w:r>
      <w:r w:rsidR="006C2FE9">
        <w:t xml:space="preserve"> octobre 2011,</w:t>
      </w:r>
      <w:r w:rsidR="0040708D">
        <w:t xml:space="preserve"> de leurs observations en réponse à celles du Gouvernement</w:t>
      </w:r>
      <w:r w:rsidR="006936B5">
        <w:t>.</w:t>
      </w:r>
    </w:p>
    <w:p w:rsidR="00130E51" w:rsidRDefault="00970717" w:rsidP="009A4473">
      <w:pPr>
        <w:pStyle w:val="JuPara"/>
      </w:pPr>
      <w:r>
        <w:fldChar w:fldCharType="begin"/>
      </w:r>
      <w:r>
        <w:instrText xml:space="preserve"> SEQ level0 \*arabic </w:instrText>
      </w:r>
      <w:r>
        <w:fldChar w:fldCharType="separate"/>
      </w:r>
      <w:r w:rsidR="00E555B3">
        <w:rPr>
          <w:noProof/>
        </w:rPr>
        <w:t>30</w:t>
      </w:r>
      <w:r>
        <w:fldChar w:fldCharType="end"/>
      </w:r>
      <w:r>
        <w:t>.  </w:t>
      </w:r>
      <w:r w:rsidR="00A54956">
        <w:t>Il ressort des pièces du dossier qu</w:t>
      </w:r>
      <w:r w:rsidR="00ED22C8">
        <w:t>e</w:t>
      </w:r>
      <w:r w:rsidR="006C2FE9">
        <w:t>,</w:t>
      </w:r>
      <w:r w:rsidR="00130E51">
        <w:t xml:space="preserve"> entre octobre 2008 et juin 2009, le directeur de la 12</w:t>
      </w:r>
      <w:r w:rsidR="00130E51" w:rsidRPr="00130E51">
        <w:rPr>
          <w:vertAlign w:val="superscript"/>
        </w:rPr>
        <w:t>e</w:t>
      </w:r>
      <w:r w:rsidR="00130E51">
        <w:t xml:space="preserve"> école </w:t>
      </w:r>
      <w:r w:rsidR="006C2FE9">
        <w:t xml:space="preserve">a </w:t>
      </w:r>
      <w:r w:rsidR="00130E51">
        <w:t>envoy</w:t>
      </w:r>
      <w:r w:rsidR="006C2FE9">
        <w:t>é</w:t>
      </w:r>
      <w:r w:rsidR="00130E51">
        <w:t xml:space="preserve"> </w:t>
      </w:r>
      <w:r w:rsidR="00ED22C8">
        <w:t>plusieurs</w:t>
      </w:r>
      <w:r w:rsidR="00130E51">
        <w:t xml:space="preserve"> lettres aux autorités régionales d</w:t>
      </w:r>
      <w:r w:rsidR="00134E67">
        <w:t>e l</w:t>
      </w:r>
      <w:r w:rsidR="00C419B2">
        <w:t>’</w:t>
      </w:r>
      <w:r w:rsidR="00CF405D">
        <w:t>éducation,</w:t>
      </w:r>
      <w:r w:rsidR="00130E51">
        <w:t xml:space="preserve"> au préfet</w:t>
      </w:r>
      <w:r w:rsidR="00CF405D">
        <w:t xml:space="preserve"> et au maire d</w:t>
      </w:r>
      <w:r w:rsidR="00C419B2">
        <w:t>’</w:t>
      </w:r>
      <w:r w:rsidR="00CF405D">
        <w:t>Aspropyrgos</w:t>
      </w:r>
      <w:r w:rsidR="00130E51">
        <w:t xml:space="preserve"> pour les alerter sur les carences auxquelles </w:t>
      </w:r>
      <w:r w:rsidR="006C2FE9">
        <w:t>l</w:t>
      </w:r>
      <w:r w:rsidR="00C419B2">
        <w:t>’</w:t>
      </w:r>
      <w:r w:rsidR="006C2FE9">
        <w:t xml:space="preserve">école </w:t>
      </w:r>
      <w:r w:rsidR="00ED22C8">
        <w:t xml:space="preserve">aurait </w:t>
      </w:r>
      <w:r w:rsidR="00130E51">
        <w:t>fait face</w:t>
      </w:r>
      <w:r w:rsidR="00974BB5">
        <w:t>, notamment en ce qui concernait</w:t>
      </w:r>
      <w:r w:rsidR="00130E51">
        <w:t xml:space="preserve"> l</w:t>
      </w:r>
      <w:r w:rsidR="00C419B2">
        <w:t>’</w:t>
      </w:r>
      <w:r w:rsidR="00130E51">
        <w:t>itinéraire du bus scolaire affecté à l</w:t>
      </w:r>
      <w:r w:rsidR="00C419B2">
        <w:t>’</w:t>
      </w:r>
      <w:r w:rsidR="00130E51">
        <w:t>école, la construction d</w:t>
      </w:r>
      <w:r w:rsidR="00C419B2">
        <w:t>’</w:t>
      </w:r>
      <w:r w:rsidR="00130E51">
        <w:t xml:space="preserve">un </w:t>
      </w:r>
      <w:r w:rsidR="00ED22C8">
        <w:t>préau</w:t>
      </w:r>
      <w:r w:rsidR="00130E51">
        <w:t>, l</w:t>
      </w:r>
      <w:r w:rsidR="00C419B2">
        <w:t>’</w:t>
      </w:r>
      <w:r w:rsidR="00130E51">
        <w:t xml:space="preserve">installation du chauffage et de toilettes supplémentaires, </w:t>
      </w:r>
      <w:r w:rsidR="00CF405D">
        <w:t>la construction de deux salles de classe supplémentaires</w:t>
      </w:r>
      <w:r w:rsidR="006C2FE9">
        <w:t>,</w:t>
      </w:r>
      <w:r w:rsidR="00CF405D">
        <w:t xml:space="preserve"> la</w:t>
      </w:r>
      <w:r w:rsidR="001075DA">
        <w:t xml:space="preserve"> création d</w:t>
      </w:r>
      <w:r w:rsidR="00C419B2">
        <w:t>’</w:t>
      </w:r>
      <w:r w:rsidR="001075DA">
        <w:t>un jardin d</w:t>
      </w:r>
      <w:r w:rsidR="00C419B2">
        <w:t>’</w:t>
      </w:r>
      <w:r w:rsidR="001075DA">
        <w:t>enfants et</w:t>
      </w:r>
      <w:r w:rsidR="00CF405D">
        <w:t xml:space="preserve"> l</w:t>
      </w:r>
      <w:r w:rsidR="00C419B2">
        <w:t>’</w:t>
      </w:r>
      <w:r w:rsidR="00ED22C8">
        <w:t>abandon</w:t>
      </w:r>
      <w:r w:rsidR="00CF405D">
        <w:t xml:space="preserve"> des cours par</w:t>
      </w:r>
      <w:r w:rsidR="00974BB5">
        <w:t xml:space="preserve"> certains</w:t>
      </w:r>
      <w:r w:rsidR="00CF405D">
        <w:t xml:space="preserve"> élèves à partir d</w:t>
      </w:r>
      <w:r w:rsidR="00C419B2">
        <w:t>’</w:t>
      </w:r>
      <w:r w:rsidR="00CF405D">
        <w:t>avril 2009.</w:t>
      </w:r>
    </w:p>
    <w:p w:rsidR="00276BEC" w:rsidRDefault="00276BEC" w:rsidP="00276BEC">
      <w:pPr>
        <w:pStyle w:val="JuHA"/>
      </w:pPr>
      <w:r>
        <w:t>B.  Situation générale de la 12</w:t>
      </w:r>
      <w:r w:rsidRPr="00276BEC">
        <w:rPr>
          <w:vertAlign w:val="superscript"/>
        </w:rPr>
        <w:t>e</w:t>
      </w:r>
      <w:r>
        <w:t xml:space="preserve"> école d</w:t>
      </w:r>
      <w:r w:rsidR="00C419B2">
        <w:t>’</w:t>
      </w:r>
      <w:r>
        <w:t>Aspropyrgos</w:t>
      </w:r>
    </w:p>
    <w:p w:rsidR="00276BEC" w:rsidRDefault="00EF16EB" w:rsidP="00B32661">
      <w:pPr>
        <w:pStyle w:val="JuH1"/>
      </w:pPr>
      <w:r>
        <w:t>1.  Thèse du Gouvernement</w:t>
      </w:r>
    </w:p>
    <w:p w:rsidR="00B136CA" w:rsidRDefault="00A3661F" w:rsidP="009A4473">
      <w:pPr>
        <w:pStyle w:val="JuPara"/>
      </w:pPr>
      <w:r>
        <w:fldChar w:fldCharType="begin"/>
      </w:r>
      <w:r>
        <w:instrText xml:space="preserve"> SEQ level0 \*arabic </w:instrText>
      </w:r>
      <w:r>
        <w:fldChar w:fldCharType="separate"/>
      </w:r>
      <w:r w:rsidR="00E555B3">
        <w:rPr>
          <w:noProof/>
        </w:rPr>
        <w:t>31</w:t>
      </w:r>
      <w:r>
        <w:fldChar w:fldCharType="end"/>
      </w:r>
      <w:r>
        <w:t>.  </w:t>
      </w:r>
      <w:r w:rsidR="00284BDC">
        <w:t>Selon le Gouvernement, l</w:t>
      </w:r>
      <w:r w:rsidR="009D302D">
        <w:t xml:space="preserve">e </w:t>
      </w:r>
      <w:r w:rsidR="00B32661">
        <w:t>b</w:t>
      </w:r>
      <w:r w:rsidR="009D302D">
        <w:t xml:space="preserve">âtiment préfabriqué </w:t>
      </w:r>
      <w:r w:rsidR="00BC537D">
        <w:t>dans le</w:t>
      </w:r>
      <w:r w:rsidR="009D302D">
        <w:t xml:space="preserve">quel la </w:t>
      </w:r>
      <w:r w:rsidR="00284BDC">
        <w:t>12</w:t>
      </w:r>
      <w:r w:rsidR="00284BDC" w:rsidRPr="009D302D">
        <w:rPr>
          <w:vertAlign w:val="superscript"/>
        </w:rPr>
        <w:t>e</w:t>
      </w:r>
      <w:r w:rsidR="00284BDC">
        <w:t> </w:t>
      </w:r>
      <w:r w:rsidR="009D302D">
        <w:t xml:space="preserve">école </w:t>
      </w:r>
      <w:r w:rsidR="00284BDC">
        <w:t>avait été</w:t>
      </w:r>
      <w:r w:rsidR="009D302D">
        <w:t xml:space="preserve"> installé</w:t>
      </w:r>
      <w:r w:rsidR="00B32661">
        <w:t>e</w:t>
      </w:r>
      <w:r w:rsidR="009D302D">
        <w:t xml:space="preserve"> disposait de quatre salles de cours, </w:t>
      </w:r>
      <w:r w:rsidR="00BC537D">
        <w:t>d</w:t>
      </w:r>
      <w:r w:rsidR="00C419B2">
        <w:t>’</w:t>
      </w:r>
      <w:r w:rsidR="009D302D">
        <w:t xml:space="preserve">un bureau des enseignants, </w:t>
      </w:r>
      <w:r w:rsidR="00BC537D">
        <w:t xml:space="preserve">de </w:t>
      </w:r>
      <w:r w:rsidR="009D302D">
        <w:t xml:space="preserve">quatre toilettes, </w:t>
      </w:r>
      <w:r w:rsidR="00BC537D">
        <w:t xml:space="preserve">de </w:t>
      </w:r>
      <w:r w:rsidR="009D302D">
        <w:t xml:space="preserve">deux salles de douches, </w:t>
      </w:r>
      <w:r w:rsidR="00BC537D">
        <w:t>d</w:t>
      </w:r>
      <w:r w:rsidR="00C419B2">
        <w:t>’</w:t>
      </w:r>
      <w:r w:rsidR="009D302D">
        <w:t>un</w:t>
      </w:r>
      <w:r w:rsidR="00B32661">
        <w:t xml:space="preserve">e cantine et </w:t>
      </w:r>
      <w:r w:rsidR="00BC537D">
        <w:t>d</w:t>
      </w:r>
      <w:r w:rsidR="00C419B2">
        <w:t>’</w:t>
      </w:r>
      <w:r w:rsidR="00B32661">
        <w:t xml:space="preserve">une cour aménagée. Trois classes </w:t>
      </w:r>
      <w:r w:rsidR="00284BDC">
        <w:t>auraient été</w:t>
      </w:r>
      <w:r w:rsidR="00B32661">
        <w:t xml:space="preserve"> créées alors que </w:t>
      </w:r>
      <w:r w:rsidR="00BC537D">
        <w:t>l</w:t>
      </w:r>
      <w:r w:rsidR="00B32661">
        <w:t xml:space="preserve">a capacité officielle </w:t>
      </w:r>
      <w:r w:rsidR="00BC537D">
        <w:t>de l</w:t>
      </w:r>
      <w:r w:rsidR="00C419B2">
        <w:t>’</w:t>
      </w:r>
      <w:r w:rsidR="00BC537D">
        <w:t xml:space="preserve">école </w:t>
      </w:r>
      <w:r w:rsidR="00284BDC">
        <w:t>aurait été</w:t>
      </w:r>
      <w:r w:rsidR="00B32661">
        <w:t xml:space="preserve"> de six classes.</w:t>
      </w:r>
      <w:r w:rsidR="00005476">
        <w:t xml:space="preserve"> Il ressort</w:t>
      </w:r>
      <w:r w:rsidR="00284BDC">
        <w:t>irait</w:t>
      </w:r>
      <w:r w:rsidR="00005476">
        <w:t xml:space="preserve"> d</w:t>
      </w:r>
      <w:r w:rsidR="00C419B2">
        <w:t>’</w:t>
      </w:r>
      <w:r w:rsidR="00005476">
        <w:t>un document établi par le ministère de l</w:t>
      </w:r>
      <w:r w:rsidR="00C419B2">
        <w:t>’</w:t>
      </w:r>
      <w:r w:rsidR="00005476">
        <w:t xml:space="preserve">Education le 12 juillet 2011 et </w:t>
      </w:r>
      <w:r w:rsidR="006C1AD8">
        <w:t xml:space="preserve">versé au dossier </w:t>
      </w:r>
      <w:r w:rsidR="00005476">
        <w:t>par le Gouvernement que</w:t>
      </w:r>
      <w:r w:rsidR="00BC537D">
        <w:t>,</w:t>
      </w:r>
      <w:r w:rsidR="00005476">
        <w:t xml:space="preserve"> pendant la période de fonctionnement de la 12</w:t>
      </w:r>
      <w:r w:rsidR="00005476" w:rsidRPr="00005476">
        <w:rPr>
          <w:vertAlign w:val="superscript"/>
        </w:rPr>
        <w:t>e</w:t>
      </w:r>
      <w:r w:rsidR="00005476">
        <w:t xml:space="preserve"> école (2008-2011), deux élèves </w:t>
      </w:r>
      <w:r w:rsidR="00284BDC">
        <w:t xml:space="preserve">avaient </w:t>
      </w:r>
      <w:r w:rsidR="00005476">
        <w:t>obt</w:t>
      </w:r>
      <w:r w:rsidR="00284BDC">
        <w:t>enu</w:t>
      </w:r>
      <w:r w:rsidR="00005476">
        <w:t xml:space="preserve"> leur diplôme de fin d</w:t>
      </w:r>
      <w:r w:rsidR="00C419B2">
        <w:t>’</w:t>
      </w:r>
      <w:r w:rsidR="00005476">
        <w:t>études</w:t>
      </w:r>
      <w:r>
        <w:t xml:space="preserve"> primaires</w:t>
      </w:r>
      <w:r w:rsidR="00005476">
        <w:t>.</w:t>
      </w:r>
    </w:p>
    <w:p w:rsidR="00B32661" w:rsidRDefault="00970717" w:rsidP="009A4473">
      <w:pPr>
        <w:pStyle w:val="JuPara"/>
      </w:pPr>
      <w:r>
        <w:fldChar w:fldCharType="begin"/>
      </w:r>
      <w:r>
        <w:instrText xml:space="preserve"> SEQ level0 \*arabic </w:instrText>
      </w:r>
      <w:r>
        <w:fldChar w:fldCharType="separate"/>
      </w:r>
      <w:r w:rsidR="00E555B3">
        <w:rPr>
          <w:noProof/>
        </w:rPr>
        <w:t>32</w:t>
      </w:r>
      <w:r>
        <w:fldChar w:fldCharType="end"/>
      </w:r>
      <w:r>
        <w:t>.  </w:t>
      </w:r>
      <w:r w:rsidR="00B32661">
        <w:t>A partir de 2009, l</w:t>
      </w:r>
      <w:r w:rsidR="00C419B2">
        <w:t>’</w:t>
      </w:r>
      <w:r w:rsidR="00B32661">
        <w:t xml:space="preserve">école </w:t>
      </w:r>
      <w:r w:rsidR="00E476A1">
        <w:t xml:space="preserve">aurait </w:t>
      </w:r>
      <w:r w:rsidR="00B32661">
        <w:t>dispos</w:t>
      </w:r>
      <w:r w:rsidR="00E476A1">
        <w:t>é</w:t>
      </w:r>
      <w:r w:rsidR="00B32661">
        <w:t xml:space="preserve"> d</w:t>
      </w:r>
      <w:r w:rsidR="00C419B2">
        <w:t>’</w:t>
      </w:r>
      <w:r w:rsidR="00B32661">
        <w:t>un fax, d</w:t>
      </w:r>
      <w:r w:rsidR="00C419B2">
        <w:t>’</w:t>
      </w:r>
      <w:r w:rsidR="00B32661">
        <w:t>un photocopieur, d</w:t>
      </w:r>
      <w:r w:rsidR="00C419B2">
        <w:t>’</w:t>
      </w:r>
      <w:r w:rsidR="00B32661">
        <w:t>un or</w:t>
      </w:r>
      <w:r w:rsidR="00727A64">
        <w:t>dinateur et d</w:t>
      </w:r>
      <w:r w:rsidR="00C419B2">
        <w:t>’</w:t>
      </w:r>
      <w:r w:rsidR="00727A64">
        <w:t xml:space="preserve">une bibliothèque. </w:t>
      </w:r>
      <w:r w:rsidR="00E476A1">
        <w:t>Il y aur</w:t>
      </w:r>
      <w:r w:rsidR="00BC537D">
        <w:t>ait</w:t>
      </w:r>
      <w:r w:rsidR="00E476A1">
        <w:t xml:space="preserve"> eu</w:t>
      </w:r>
      <w:r w:rsidR="00BC537D">
        <w:t xml:space="preserve"> cinq</w:t>
      </w:r>
      <w:r w:rsidR="00B32661">
        <w:t xml:space="preserve"> enseignants</w:t>
      </w:r>
      <w:r w:rsidR="00BC537D">
        <w:t> :</w:t>
      </w:r>
      <w:r w:rsidR="00B32661">
        <w:t xml:space="preserve"> quatre instituteurs et un professeur de gymnastique.</w:t>
      </w:r>
      <w:r w:rsidR="006B18E2">
        <w:t xml:space="preserve"> Le nombre d</w:t>
      </w:r>
      <w:r w:rsidR="00C419B2">
        <w:t>’</w:t>
      </w:r>
      <w:r w:rsidR="006B18E2">
        <w:t>élèves inscrits à l</w:t>
      </w:r>
      <w:r w:rsidR="00C419B2">
        <w:t>’</w:t>
      </w:r>
      <w:r w:rsidR="006B18E2">
        <w:t xml:space="preserve">époque des faits (2008-2009) </w:t>
      </w:r>
      <w:r w:rsidR="00E476A1">
        <w:t>aurait été de</w:t>
      </w:r>
      <w:r w:rsidR="006B18E2">
        <w:t xml:space="preserve"> 226. La scolarité des élèves </w:t>
      </w:r>
      <w:r w:rsidR="00E476A1">
        <w:t>aurait été</w:t>
      </w:r>
      <w:r w:rsidR="006B18E2">
        <w:t xml:space="preserve"> irrégulière, </w:t>
      </w:r>
      <w:r w:rsidR="00BC537D">
        <w:t xml:space="preserve">le nombre de présents </w:t>
      </w:r>
      <w:r w:rsidR="006B18E2">
        <w:t>variant de trente à soixante par jour</w:t>
      </w:r>
      <w:r w:rsidR="00E476A1">
        <w:t xml:space="preserve"> en raison du</w:t>
      </w:r>
      <w:r w:rsidR="006B18E2">
        <w:t xml:space="preserve"> mode de vie des familles de ces élèves</w:t>
      </w:r>
      <w:r w:rsidR="004B74CD">
        <w:t>,</w:t>
      </w:r>
      <w:r w:rsidR="00B136CA">
        <w:t xml:space="preserve"> </w:t>
      </w:r>
      <w:r w:rsidR="004B74CD">
        <w:t xml:space="preserve">fréquemment en </w:t>
      </w:r>
      <w:r w:rsidR="006B18E2">
        <w:t>déplacement pour des travaux saisonniers</w:t>
      </w:r>
      <w:r w:rsidR="00BC537D">
        <w:t>.</w:t>
      </w:r>
    </w:p>
    <w:p w:rsidR="00B32661" w:rsidRPr="00D036D8" w:rsidRDefault="00970717" w:rsidP="009A4473">
      <w:pPr>
        <w:pStyle w:val="JuPara"/>
      </w:pPr>
      <w:r>
        <w:fldChar w:fldCharType="begin"/>
      </w:r>
      <w:r>
        <w:instrText xml:space="preserve"> SEQ level0 \*arabic </w:instrText>
      </w:r>
      <w:r>
        <w:fldChar w:fldCharType="separate"/>
      </w:r>
      <w:r w:rsidR="00E555B3">
        <w:rPr>
          <w:noProof/>
        </w:rPr>
        <w:t>33</w:t>
      </w:r>
      <w:r>
        <w:fldChar w:fldCharType="end"/>
      </w:r>
      <w:r>
        <w:t>.  </w:t>
      </w:r>
      <w:r w:rsidR="00927B8A">
        <w:t>L</w:t>
      </w:r>
      <w:r w:rsidR="00284BDC">
        <w:t>e fait que l</w:t>
      </w:r>
      <w:r w:rsidR="00C419B2">
        <w:t>’</w:t>
      </w:r>
      <w:r w:rsidR="00927B8A">
        <w:t>ensemble des élèves de la 12</w:t>
      </w:r>
      <w:r w:rsidR="00927B8A" w:rsidRPr="00927B8A">
        <w:rPr>
          <w:vertAlign w:val="superscript"/>
        </w:rPr>
        <w:t>e</w:t>
      </w:r>
      <w:r w:rsidR="00927B8A">
        <w:t xml:space="preserve"> école était d</w:t>
      </w:r>
      <w:r w:rsidR="00C419B2">
        <w:t>’</w:t>
      </w:r>
      <w:r w:rsidR="00927B8A">
        <w:t xml:space="preserve">origine rom </w:t>
      </w:r>
      <w:r w:rsidR="00E476A1">
        <w:t>aurait été</w:t>
      </w:r>
      <w:r w:rsidR="00284BDC">
        <w:t xml:space="preserve"> dû à l</w:t>
      </w:r>
      <w:r w:rsidR="00C419B2">
        <w:t>’</w:t>
      </w:r>
      <w:r w:rsidR="00284BDC">
        <w:t>attitude de la société locale et non pas à</w:t>
      </w:r>
      <w:r w:rsidR="00927B8A">
        <w:t xml:space="preserve"> l</w:t>
      </w:r>
      <w:r w:rsidR="00C419B2">
        <w:t>’</w:t>
      </w:r>
      <w:r w:rsidR="00927B8A">
        <w:t xml:space="preserve">Etat grec. Le </w:t>
      </w:r>
      <w:r w:rsidR="00927B8A" w:rsidRPr="00D036D8">
        <w:t>ministère de l</w:t>
      </w:r>
      <w:r w:rsidR="00C419B2">
        <w:t>’</w:t>
      </w:r>
      <w:r w:rsidR="00927B8A" w:rsidRPr="00D036D8">
        <w:t xml:space="preserve">Education </w:t>
      </w:r>
      <w:r w:rsidR="00E476A1" w:rsidRPr="00D036D8">
        <w:t xml:space="preserve">aurait </w:t>
      </w:r>
      <w:r w:rsidR="000772F6" w:rsidRPr="00D036D8">
        <w:t>demand</w:t>
      </w:r>
      <w:r w:rsidR="00E476A1" w:rsidRPr="00D036D8">
        <w:t>é</w:t>
      </w:r>
      <w:r w:rsidR="000772F6" w:rsidRPr="00D036D8">
        <w:t xml:space="preserve"> </w:t>
      </w:r>
      <w:r w:rsidR="00927B8A" w:rsidRPr="00D036D8">
        <w:t>à la direction de l</w:t>
      </w:r>
      <w:r w:rsidR="00C419B2">
        <w:t>’</w:t>
      </w:r>
      <w:r w:rsidR="00927B8A" w:rsidRPr="00D036D8">
        <w:t>école de procéder à l</w:t>
      </w:r>
      <w:r w:rsidR="00C419B2">
        <w:t>’</w:t>
      </w:r>
      <w:r w:rsidR="00927B8A" w:rsidRPr="00D036D8">
        <w:t xml:space="preserve">inscription </w:t>
      </w:r>
      <w:r w:rsidR="00F3565C" w:rsidRPr="00D036D8">
        <w:t>immédiate des enfants non</w:t>
      </w:r>
      <w:r w:rsidR="00284BDC" w:rsidRPr="00D036D8">
        <w:t xml:space="preserve"> </w:t>
      </w:r>
      <w:r w:rsidR="00F3565C" w:rsidRPr="00D036D8">
        <w:t xml:space="preserve">roms dont le domicile se situait dans </w:t>
      </w:r>
      <w:r w:rsidR="00935FBB" w:rsidRPr="00D036D8">
        <w:t>la zone de recrutement</w:t>
      </w:r>
      <w:r w:rsidR="00F3565C" w:rsidRPr="00D036D8">
        <w:t xml:space="preserve"> de ce</w:t>
      </w:r>
      <w:r w:rsidR="00284BDC" w:rsidRPr="00D036D8">
        <w:t>tte école</w:t>
      </w:r>
      <w:r w:rsidR="00F3565C" w:rsidRPr="00D036D8">
        <w:t xml:space="preserve">, </w:t>
      </w:r>
      <w:r w:rsidR="00D036D8" w:rsidRPr="00D036D8">
        <w:t>et ce même en l</w:t>
      </w:r>
      <w:r w:rsidR="00C419B2">
        <w:t>’</w:t>
      </w:r>
      <w:r w:rsidR="00D036D8" w:rsidRPr="00D036D8">
        <w:t>absence de</w:t>
      </w:r>
      <w:r w:rsidR="00F3565C" w:rsidRPr="00D036D8">
        <w:t xml:space="preserve"> demande de la part des parents concernés</w:t>
      </w:r>
      <w:r w:rsidR="00284BDC" w:rsidRPr="00D036D8">
        <w:t>, mais l</w:t>
      </w:r>
      <w:r w:rsidR="00C419B2">
        <w:t>’</w:t>
      </w:r>
      <w:r w:rsidR="00284BDC" w:rsidRPr="00D036D8">
        <w:t>on</w:t>
      </w:r>
      <w:r w:rsidR="00E476A1" w:rsidRPr="00D036D8">
        <w:t xml:space="preserve"> aurait constaté</w:t>
      </w:r>
      <w:r w:rsidR="00F3565C" w:rsidRPr="00D036D8">
        <w:t xml:space="preserve"> que ces enfants étaient déjà inscrits dans d</w:t>
      </w:r>
      <w:r w:rsidR="00C419B2">
        <w:t>’</w:t>
      </w:r>
      <w:r w:rsidR="00F3565C" w:rsidRPr="00D036D8">
        <w:t>autres écoles, publiques ou privé</w:t>
      </w:r>
      <w:r w:rsidR="00BD71A8" w:rsidRPr="00D036D8">
        <w:t>e</w:t>
      </w:r>
      <w:r w:rsidR="00F3565C" w:rsidRPr="00D036D8">
        <w:t>s.</w:t>
      </w:r>
    </w:p>
    <w:p w:rsidR="00EF16EB" w:rsidRDefault="00EF16EB" w:rsidP="00B32661">
      <w:pPr>
        <w:pStyle w:val="JuH1"/>
      </w:pPr>
      <w:r w:rsidRPr="00D036D8">
        <w:t>2.  Thèse des requérants</w:t>
      </w:r>
    </w:p>
    <w:p w:rsidR="00EF16EB" w:rsidRDefault="00970717" w:rsidP="009A4473">
      <w:pPr>
        <w:pStyle w:val="JuPara"/>
      </w:pPr>
      <w:r>
        <w:fldChar w:fldCharType="begin"/>
      </w:r>
      <w:r>
        <w:instrText xml:space="preserve"> SEQ level0 \*arabic </w:instrText>
      </w:r>
      <w:r>
        <w:fldChar w:fldCharType="separate"/>
      </w:r>
      <w:r w:rsidR="00E555B3">
        <w:rPr>
          <w:noProof/>
        </w:rPr>
        <w:t>34</w:t>
      </w:r>
      <w:r>
        <w:fldChar w:fldCharType="end"/>
      </w:r>
      <w:r>
        <w:t>.  </w:t>
      </w:r>
      <w:r w:rsidR="00BD71A8">
        <w:t xml:space="preserve">Se fondant sur des documents officiels versés au dossier, les requérants </w:t>
      </w:r>
      <w:r w:rsidR="00D1699F">
        <w:t xml:space="preserve">contestent </w:t>
      </w:r>
      <w:r w:rsidR="00BD71A8">
        <w:t>plusieurs des affirmations du Gouvernement</w:t>
      </w:r>
      <w:r w:rsidR="00D1699F">
        <w:t xml:space="preserve">, notamment celles relatives à la configuration et </w:t>
      </w:r>
      <w:r w:rsidR="00284BDC">
        <w:t xml:space="preserve">à </w:t>
      </w:r>
      <w:r w:rsidR="00D1699F">
        <w:t>la superficie de l</w:t>
      </w:r>
      <w:r w:rsidR="00C419B2">
        <w:t>’</w:t>
      </w:r>
      <w:r w:rsidR="00D1699F">
        <w:t>école ainsi qu</w:t>
      </w:r>
      <w:r w:rsidR="00C419B2">
        <w:t>’</w:t>
      </w:r>
      <w:r w:rsidR="00D1699F">
        <w:t xml:space="preserve">au nombre de classes </w:t>
      </w:r>
      <w:r w:rsidR="00E63922">
        <w:t>en service</w:t>
      </w:r>
      <w:r w:rsidR="00BD71A8">
        <w:t>.</w:t>
      </w:r>
      <w:r w:rsidR="00A52663">
        <w:t xml:space="preserve"> </w:t>
      </w:r>
      <w:r w:rsidR="00284BDC">
        <w:t>Selon leur version, l</w:t>
      </w:r>
      <w:r w:rsidR="00C419B2">
        <w:t>’</w:t>
      </w:r>
      <w:r w:rsidR="00A52663">
        <w:t>extension de l</w:t>
      </w:r>
      <w:r w:rsidR="00C419B2">
        <w:t>’</w:t>
      </w:r>
      <w:r w:rsidR="00A52663">
        <w:t xml:space="preserve">école à sa taille actuelle </w:t>
      </w:r>
      <w:r w:rsidR="00284BDC">
        <w:t>avait eu</w:t>
      </w:r>
      <w:r w:rsidR="00A52663">
        <w:t xml:space="preserve"> lieu en décembre 2009, mais sa capacité était encore insuffisante pour le</w:t>
      </w:r>
      <w:r w:rsidR="007E6887">
        <w:t>s</w:t>
      </w:r>
      <w:r w:rsidR="00A52663">
        <w:t xml:space="preserve"> </w:t>
      </w:r>
      <w:r w:rsidR="00284BDC">
        <w:t>200</w:t>
      </w:r>
      <w:r w:rsidR="00A52663">
        <w:t xml:space="preserve"> élèves environ qui y </w:t>
      </w:r>
      <w:r w:rsidR="00E63922">
        <w:t>auraient été</w:t>
      </w:r>
      <w:r w:rsidR="00A52663">
        <w:t xml:space="preserve"> inscrits.</w:t>
      </w:r>
      <w:r w:rsidR="007E6887">
        <w:t xml:space="preserve"> Par une lettre du 29 septembre 2009, le directeur de la 12</w:t>
      </w:r>
      <w:r w:rsidR="007E6887" w:rsidRPr="007E6887">
        <w:rPr>
          <w:vertAlign w:val="superscript"/>
        </w:rPr>
        <w:t>e</w:t>
      </w:r>
      <w:r w:rsidR="007E6887">
        <w:t xml:space="preserve"> école </w:t>
      </w:r>
      <w:r w:rsidR="00E63922">
        <w:t xml:space="preserve">aurait </w:t>
      </w:r>
      <w:r w:rsidR="007E6887">
        <w:t>inform</w:t>
      </w:r>
      <w:r w:rsidR="00E63922">
        <w:t>é</w:t>
      </w:r>
      <w:r w:rsidR="007E6887">
        <w:t xml:space="preserve"> les autorités compétentes du ministère de l</w:t>
      </w:r>
      <w:r w:rsidR="00C419B2">
        <w:t>’</w:t>
      </w:r>
      <w:r w:rsidR="007E6887">
        <w:t>Education que seulement deux enseignants débutants</w:t>
      </w:r>
      <w:r w:rsidR="00D036D8">
        <w:t>,</w:t>
      </w:r>
      <w:r w:rsidR="007E6887">
        <w:t xml:space="preserve"> </w:t>
      </w:r>
      <w:r w:rsidR="00CC1204">
        <w:t>sans aucune expérience</w:t>
      </w:r>
      <w:r w:rsidR="00D036D8">
        <w:t>,</w:t>
      </w:r>
      <w:r w:rsidR="00CC1204">
        <w:t xml:space="preserve"> étaient affectés à l</w:t>
      </w:r>
      <w:r w:rsidR="00C419B2">
        <w:t>’</w:t>
      </w:r>
      <w:r w:rsidR="00CC1204">
        <w:t>école</w:t>
      </w:r>
      <w:r w:rsidR="007E6887">
        <w:t xml:space="preserve">. Or, </w:t>
      </w:r>
      <w:r w:rsidR="00E63922">
        <w:t>selon les requérants qui se réfèrent à</w:t>
      </w:r>
      <w:r w:rsidR="003367B7">
        <w:t xml:space="preserve"> une décision ministérielle du 25 septembre 2006, l</w:t>
      </w:r>
      <w:r w:rsidR="00C419B2">
        <w:t>’</w:t>
      </w:r>
      <w:r w:rsidR="003367B7">
        <w:t xml:space="preserve">école </w:t>
      </w:r>
      <w:r w:rsidR="00E63922">
        <w:t xml:space="preserve">aurait dû </w:t>
      </w:r>
      <w:r w:rsidR="00D036D8">
        <w:t>être pourvue</w:t>
      </w:r>
      <w:r w:rsidR="003367B7">
        <w:t xml:space="preserve">, en plus du directeur, </w:t>
      </w:r>
      <w:r w:rsidR="00D036D8">
        <w:t>d</w:t>
      </w:r>
      <w:r w:rsidR="00C419B2">
        <w:t>’</w:t>
      </w:r>
      <w:r w:rsidR="003367B7">
        <w:t>au moins quatre enseignants pour l</w:t>
      </w:r>
      <w:r w:rsidR="00C419B2">
        <w:t>’</w:t>
      </w:r>
      <w:r w:rsidR="003367B7">
        <w:t xml:space="preserve">année scolaire 2008-2009 pour le nombre de 226 élèves </w:t>
      </w:r>
      <w:r w:rsidR="00D036D8">
        <w:t>qu</w:t>
      </w:r>
      <w:r w:rsidR="00C419B2">
        <w:t>’</w:t>
      </w:r>
      <w:r w:rsidR="00D036D8">
        <w:t xml:space="preserve">aurait </w:t>
      </w:r>
      <w:r w:rsidR="003367B7">
        <w:t xml:space="preserve">fourni le Gouvernement et qui </w:t>
      </w:r>
      <w:r w:rsidR="00E63922">
        <w:t>serait</w:t>
      </w:r>
      <w:r w:rsidR="003367B7">
        <w:t xml:space="preserve"> </w:t>
      </w:r>
      <w:r w:rsidR="00284BDC">
        <w:t>inexact</w:t>
      </w:r>
      <w:r w:rsidR="003367B7">
        <w:t>.</w:t>
      </w:r>
    </w:p>
    <w:p w:rsidR="003367B7" w:rsidRDefault="00970717" w:rsidP="009A4473">
      <w:pPr>
        <w:pStyle w:val="JuPara"/>
      </w:pPr>
      <w:r>
        <w:fldChar w:fldCharType="begin"/>
      </w:r>
      <w:r>
        <w:instrText xml:space="preserve"> SEQ level0 \*arabic </w:instrText>
      </w:r>
      <w:r>
        <w:fldChar w:fldCharType="separate"/>
      </w:r>
      <w:r w:rsidR="00E555B3">
        <w:rPr>
          <w:noProof/>
        </w:rPr>
        <w:t>35</w:t>
      </w:r>
      <w:r>
        <w:fldChar w:fldCharType="end"/>
      </w:r>
      <w:r>
        <w:t>.  </w:t>
      </w:r>
      <w:r w:rsidR="003367B7">
        <w:t>L</w:t>
      </w:r>
      <w:r w:rsidR="00C419B2">
        <w:t>’</w:t>
      </w:r>
      <w:r w:rsidR="003367B7">
        <w:t xml:space="preserve">absentéisme scolaire des </w:t>
      </w:r>
      <w:r w:rsidR="003356E9">
        <w:t xml:space="preserve">élèves </w:t>
      </w:r>
      <w:r w:rsidR="003367B7">
        <w:t xml:space="preserve">roms </w:t>
      </w:r>
      <w:r w:rsidR="00E63922">
        <w:t xml:space="preserve">aurait été </w:t>
      </w:r>
      <w:r w:rsidR="003367B7">
        <w:t xml:space="preserve">dû </w:t>
      </w:r>
      <w:r w:rsidR="00E63922">
        <w:t>à l</w:t>
      </w:r>
      <w:r w:rsidR="00C419B2">
        <w:t>’</w:t>
      </w:r>
      <w:r w:rsidR="00E63922">
        <w:t>emplacement de</w:t>
      </w:r>
      <w:r w:rsidR="00563275">
        <w:t xml:space="preserve"> l</w:t>
      </w:r>
      <w:r w:rsidR="00C419B2">
        <w:t>’</w:t>
      </w:r>
      <w:r w:rsidR="00563275">
        <w:t>arrêt d</w:t>
      </w:r>
      <w:r w:rsidR="00E63922">
        <w:t>e</w:t>
      </w:r>
      <w:r w:rsidR="00563275">
        <w:t xml:space="preserve"> bus</w:t>
      </w:r>
      <w:r w:rsidR="00E63922">
        <w:t>,</w:t>
      </w:r>
      <w:r w:rsidR="00563275">
        <w:t xml:space="preserve"> situé loin de l</w:t>
      </w:r>
      <w:r w:rsidR="00C419B2">
        <w:t>’</w:t>
      </w:r>
      <w:r w:rsidR="00563275">
        <w:t>école</w:t>
      </w:r>
      <w:r w:rsidR="00E63922">
        <w:t>,</w:t>
      </w:r>
      <w:r w:rsidR="00563275">
        <w:t xml:space="preserve"> et </w:t>
      </w:r>
      <w:r w:rsidR="00E63922">
        <w:t>à l</w:t>
      </w:r>
      <w:r w:rsidR="00C419B2">
        <w:t>’</w:t>
      </w:r>
      <w:r w:rsidR="00E63922">
        <w:t>impossibilité pour les enfants roms de marcher dans le</w:t>
      </w:r>
      <w:r w:rsidR="00563275">
        <w:t xml:space="preserve"> froid et </w:t>
      </w:r>
      <w:r w:rsidR="00E63922">
        <w:t>sous</w:t>
      </w:r>
      <w:r w:rsidR="00563275">
        <w:t xml:space="preserve"> la pluie</w:t>
      </w:r>
      <w:r w:rsidR="00E63922">
        <w:t xml:space="preserve"> sans vêtements adaptés</w:t>
      </w:r>
      <w:r w:rsidR="00563275">
        <w:t xml:space="preserve">. </w:t>
      </w:r>
      <w:r w:rsidR="000F300E">
        <w:t>Ceux-ci auraient dû</w:t>
      </w:r>
      <w:r w:rsidR="00563275">
        <w:t xml:space="preserve"> en plus tra</w:t>
      </w:r>
      <w:r w:rsidR="00694301">
        <w:t>verser le quartier dans lequel</w:t>
      </w:r>
      <w:r w:rsidR="00563275">
        <w:t xml:space="preserve"> </w:t>
      </w:r>
      <w:r w:rsidR="000F300E">
        <w:t>s</w:t>
      </w:r>
      <w:r w:rsidR="00C419B2">
        <w:t>’</w:t>
      </w:r>
      <w:r w:rsidR="000F300E">
        <w:t>étaient déroulés</w:t>
      </w:r>
      <w:r w:rsidR="00563275">
        <w:t xml:space="preserve"> en 2004-2005 les incidents racistes à l</w:t>
      </w:r>
      <w:r w:rsidR="00C419B2">
        <w:t>’</w:t>
      </w:r>
      <w:r w:rsidR="00563275">
        <w:t>origine de la création de l</w:t>
      </w:r>
      <w:r w:rsidR="00C419B2">
        <w:t>’</w:t>
      </w:r>
      <w:r w:rsidR="00563275">
        <w:t>annexe préfabriquée de la 10</w:t>
      </w:r>
      <w:r w:rsidR="00563275" w:rsidRPr="00563275">
        <w:rPr>
          <w:vertAlign w:val="superscript"/>
        </w:rPr>
        <w:t>e</w:t>
      </w:r>
      <w:r w:rsidR="00694301">
        <w:t xml:space="preserve"> école</w:t>
      </w:r>
      <w:r w:rsidR="00563275">
        <w:t xml:space="preserve"> réservée aux élèves roms.</w:t>
      </w:r>
    </w:p>
    <w:p w:rsidR="000772F6" w:rsidRPr="00F56FC5" w:rsidRDefault="00970717" w:rsidP="009A4473">
      <w:pPr>
        <w:pStyle w:val="JuPara"/>
      </w:pPr>
      <w:r>
        <w:fldChar w:fldCharType="begin"/>
      </w:r>
      <w:r>
        <w:instrText xml:space="preserve"> SEQ level0 \*arabic </w:instrText>
      </w:r>
      <w:r>
        <w:fldChar w:fldCharType="separate"/>
      </w:r>
      <w:r w:rsidR="00E555B3">
        <w:rPr>
          <w:noProof/>
        </w:rPr>
        <w:t>36</w:t>
      </w:r>
      <w:r>
        <w:fldChar w:fldCharType="end"/>
      </w:r>
      <w:r>
        <w:t>.  </w:t>
      </w:r>
      <w:r w:rsidR="00E56832">
        <w:t>Toujours selon les requérants, à</w:t>
      </w:r>
      <w:r w:rsidR="001A7AA3" w:rsidRPr="00F56FC5">
        <w:t xml:space="preserve"> la suite de la fixation </w:t>
      </w:r>
      <w:r w:rsidR="00935FBB">
        <w:t>de la carte scolaire</w:t>
      </w:r>
      <w:r w:rsidR="001A7AA3" w:rsidRPr="00F56FC5">
        <w:t>, en avril 2008, la direction de la 10</w:t>
      </w:r>
      <w:r w:rsidR="001A7AA3" w:rsidRPr="00F56FC5">
        <w:rPr>
          <w:vertAlign w:val="superscript"/>
        </w:rPr>
        <w:t>e</w:t>
      </w:r>
      <w:r w:rsidR="001A7AA3" w:rsidRPr="00F56FC5">
        <w:t xml:space="preserve"> école aurait dû fournir à la </w:t>
      </w:r>
      <w:r w:rsidR="00621479" w:rsidRPr="00F56FC5">
        <w:t>12</w:t>
      </w:r>
      <w:r w:rsidR="00621479" w:rsidRPr="00F56FC5">
        <w:rPr>
          <w:vertAlign w:val="superscript"/>
        </w:rPr>
        <w:t>e</w:t>
      </w:r>
      <w:r w:rsidR="00621479">
        <w:t> </w:t>
      </w:r>
      <w:r w:rsidR="001A7AA3" w:rsidRPr="00F56FC5">
        <w:t>école les noms des élèves scolarisés dans la 10</w:t>
      </w:r>
      <w:r w:rsidR="001A7AA3" w:rsidRPr="00F56FC5">
        <w:rPr>
          <w:vertAlign w:val="superscript"/>
        </w:rPr>
        <w:t>e</w:t>
      </w:r>
      <w:r w:rsidR="001A7AA3" w:rsidRPr="00F56FC5">
        <w:t xml:space="preserve"> et qui, d</w:t>
      </w:r>
      <w:r w:rsidR="00C419B2">
        <w:t>’</w:t>
      </w:r>
      <w:r w:rsidR="001A7AA3" w:rsidRPr="00F56FC5">
        <w:t>après la nouvelle délimitation, devaient être transférés à la 12</w:t>
      </w:r>
      <w:r w:rsidR="001A7AA3" w:rsidRPr="00F56FC5">
        <w:rPr>
          <w:vertAlign w:val="superscript"/>
        </w:rPr>
        <w:t>e</w:t>
      </w:r>
      <w:r w:rsidR="001A7AA3" w:rsidRPr="00F56FC5">
        <w:t xml:space="preserve"> pour l</w:t>
      </w:r>
      <w:r w:rsidR="00C419B2">
        <w:t>’</w:t>
      </w:r>
      <w:r w:rsidR="001A7AA3" w:rsidRPr="00F56FC5">
        <w:t>année scolaire 2008-2009.</w:t>
      </w:r>
      <w:r w:rsidR="001C2A4D" w:rsidRPr="00F56FC5">
        <w:t xml:space="preserve"> </w:t>
      </w:r>
      <w:r w:rsidR="00E56832">
        <w:t>Les intéressés précisent que, s</w:t>
      </w:r>
      <w:r w:rsidR="001C2A4D" w:rsidRPr="00F56FC5">
        <w:t>i ce transfert avait eu lieu, la 12</w:t>
      </w:r>
      <w:r w:rsidR="001C2A4D" w:rsidRPr="00F56FC5">
        <w:rPr>
          <w:vertAlign w:val="superscript"/>
        </w:rPr>
        <w:t>e</w:t>
      </w:r>
      <w:r w:rsidR="00AA7FB5">
        <w:t> </w:t>
      </w:r>
      <w:r w:rsidR="001C2A4D" w:rsidRPr="00F56FC5">
        <w:t>école aurait eu dès le début de son fonctionnement des centaines d</w:t>
      </w:r>
      <w:r w:rsidR="00C419B2">
        <w:t>’</w:t>
      </w:r>
      <w:r w:rsidR="001C2A4D" w:rsidRPr="00F56FC5">
        <w:t>élèves non</w:t>
      </w:r>
      <w:r w:rsidR="00284BDC">
        <w:t xml:space="preserve"> </w:t>
      </w:r>
      <w:r w:rsidR="001C2A4D" w:rsidRPr="00F56FC5">
        <w:t xml:space="preserve">roms en plus des élèves roms, et aurait </w:t>
      </w:r>
      <w:r w:rsidR="00284BDC">
        <w:t xml:space="preserve">ainsi </w:t>
      </w:r>
      <w:r w:rsidR="001C2A4D" w:rsidRPr="00F56FC5">
        <w:t xml:space="preserve">été une école </w:t>
      </w:r>
      <w:r w:rsidR="00356661">
        <w:t>ordinair</w:t>
      </w:r>
      <w:r w:rsidR="001C2A4D" w:rsidRPr="00F56FC5">
        <w:t>e.</w:t>
      </w:r>
      <w:r w:rsidR="0091146F" w:rsidRPr="00F56FC5">
        <w:t xml:space="preserve"> </w:t>
      </w:r>
      <w:r w:rsidR="00284BDC">
        <w:t>Cela</w:t>
      </w:r>
      <w:r w:rsidR="0091146F" w:rsidRPr="00F56FC5">
        <w:t xml:space="preserve"> ne s</w:t>
      </w:r>
      <w:r w:rsidR="00E56832">
        <w:t>e serait</w:t>
      </w:r>
      <w:r w:rsidR="0091146F" w:rsidRPr="00F56FC5">
        <w:t xml:space="preserve"> jamais produit, car la nouvelle école </w:t>
      </w:r>
      <w:r w:rsidR="00E56832">
        <w:t>aurait été</w:t>
      </w:r>
      <w:r w:rsidR="0091146F" w:rsidRPr="00F56FC5">
        <w:t xml:space="preserve"> conçue pour fonctionner seulement avec des élèves roms.</w:t>
      </w:r>
    </w:p>
    <w:p w:rsidR="00CB4C0C" w:rsidRDefault="00276BEC" w:rsidP="00621B9D">
      <w:pPr>
        <w:pStyle w:val="JuHA"/>
      </w:pPr>
      <w:r>
        <w:t>C</w:t>
      </w:r>
      <w:r w:rsidR="00621B9D">
        <w:t>.  </w:t>
      </w:r>
      <w:r w:rsidR="00CB4C0C">
        <w:t>Situation individuelle des élèves requérants</w:t>
      </w:r>
    </w:p>
    <w:p w:rsidR="009D302D" w:rsidRDefault="009D302D" w:rsidP="009D302D">
      <w:pPr>
        <w:pStyle w:val="JuH1"/>
      </w:pPr>
      <w:r>
        <w:t>1.  Thèse du Gouvernement</w:t>
      </w:r>
    </w:p>
    <w:p w:rsidR="00CB4C0C" w:rsidRDefault="009D302D" w:rsidP="009D302D">
      <w:pPr>
        <w:pStyle w:val="JuHa0"/>
      </w:pPr>
      <w:r>
        <w:t>a)</w:t>
      </w:r>
      <w:r w:rsidR="00621B9D">
        <w:t>  </w:t>
      </w:r>
      <w:r w:rsidR="00CB4C0C">
        <w:t>Année scolaire 2008/2009</w:t>
      </w:r>
    </w:p>
    <w:p w:rsidR="00CB4C0C" w:rsidRDefault="00970717" w:rsidP="009A4473">
      <w:pPr>
        <w:pStyle w:val="JuPara"/>
      </w:pPr>
      <w:r>
        <w:fldChar w:fldCharType="begin"/>
      </w:r>
      <w:r>
        <w:instrText xml:space="preserve"> SEQ level0 \*arabic </w:instrText>
      </w:r>
      <w:r>
        <w:fldChar w:fldCharType="separate"/>
      </w:r>
      <w:r w:rsidR="00E555B3">
        <w:rPr>
          <w:noProof/>
        </w:rPr>
        <w:t>37</w:t>
      </w:r>
      <w:r>
        <w:fldChar w:fldCharType="end"/>
      </w:r>
      <w:r>
        <w:t>.  </w:t>
      </w:r>
      <w:r w:rsidR="00621479">
        <w:t>Selon le Gouvernement, l</w:t>
      </w:r>
      <w:r w:rsidR="00CB4C0C">
        <w:t xml:space="preserve">es requérants Zografo Sampani, Andreas Sampanis, Georgia Sampani, Ioanna Sampani et Thomas Christakis avaient une scolarité qualifiée de « suffisante » du point de vue de </w:t>
      </w:r>
      <w:r w:rsidR="00815E81">
        <w:t xml:space="preserve">leur </w:t>
      </w:r>
      <w:r w:rsidR="00CB4C0C">
        <w:t>participation aux cours.</w:t>
      </w:r>
    </w:p>
    <w:p w:rsidR="00CB4C0C" w:rsidRDefault="00970717" w:rsidP="009A4473">
      <w:pPr>
        <w:pStyle w:val="JuPara"/>
      </w:pPr>
      <w:r>
        <w:fldChar w:fldCharType="begin"/>
      </w:r>
      <w:r>
        <w:instrText xml:space="preserve"> SEQ level0 \*arabic </w:instrText>
      </w:r>
      <w:r>
        <w:fldChar w:fldCharType="separate"/>
      </w:r>
      <w:r w:rsidR="00E555B3">
        <w:rPr>
          <w:noProof/>
        </w:rPr>
        <w:t>38</w:t>
      </w:r>
      <w:r>
        <w:fldChar w:fldCharType="end"/>
      </w:r>
      <w:r>
        <w:t>.  </w:t>
      </w:r>
      <w:r w:rsidR="00CB4C0C">
        <w:t xml:space="preserve">Les requérants </w:t>
      </w:r>
      <w:r w:rsidR="002F4A0B">
        <w:t>Ioannis Sampanis,</w:t>
      </w:r>
      <w:r w:rsidR="00EF16EB">
        <w:t xml:space="preserve"> </w:t>
      </w:r>
      <w:r w:rsidR="002F4A0B">
        <w:t>Christos Sampanis, Kyprianos Velios, Christina Veliou, Panayotis Liakopoulos, Kyriakos Sampanis, Panayota Passiou, Ekias Bantis, Ako Passiou, Kyriaki Karahaliou, Vasilios Sampanis, Maria Sampani, Ako Sampani, Giannoula Sampani, Nikolaos Mouratis, Ako Tsakiris, Ako Tsakiri et Antonios Karagounis</w:t>
      </w:r>
      <w:r w:rsidR="00815E81">
        <w:t xml:space="preserve"> </w:t>
      </w:r>
      <w:r w:rsidR="00621B9D">
        <w:t>a</w:t>
      </w:r>
      <w:r w:rsidR="00621479">
        <w:t>ur</w:t>
      </w:r>
      <w:r w:rsidR="00621B9D">
        <w:t xml:space="preserve">aient </w:t>
      </w:r>
      <w:r w:rsidR="00621479">
        <w:t xml:space="preserve">eu </w:t>
      </w:r>
      <w:r w:rsidR="00621B9D">
        <w:t>une scolarité qualifiée d</w:t>
      </w:r>
      <w:r w:rsidR="00C419B2">
        <w:t>’</w:t>
      </w:r>
      <w:r w:rsidR="00621B9D">
        <w:t xml:space="preserve">« occasionnelle » : ils se </w:t>
      </w:r>
      <w:r w:rsidR="00621479">
        <w:t xml:space="preserve">seraient </w:t>
      </w:r>
      <w:r w:rsidR="00621B9D">
        <w:t>rend</w:t>
      </w:r>
      <w:r w:rsidR="00621479">
        <w:t>us</w:t>
      </w:r>
      <w:r w:rsidR="00621B9D">
        <w:t xml:space="preserve"> en classe de temps à autre</w:t>
      </w:r>
      <w:r w:rsidR="00815E81">
        <w:t>,</w:t>
      </w:r>
      <w:r w:rsidR="00621B9D">
        <w:t xml:space="preserve"> de sorte que leur scolarité </w:t>
      </w:r>
      <w:r w:rsidR="00621479">
        <w:t>aurait été</w:t>
      </w:r>
      <w:r w:rsidR="00621B9D">
        <w:t xml:space="preserve"> interrompue par de longues périodes d</w:t>
      </w:r>
      <w:r w:rsidR="00C419B2">
        <w:t>’</w:t>
      </w:r>
      <w:r w:rsidR="00621B9D">
        <w:t>absence.</w:t>
      </w:r>
    </w:p>
    <w:p w:rsidR="0036010E" w:rsidRDefault="00970717" w:rsidP="009A4473">
      <w:pPr>
        <w:pStyle w:val="JuPara"/>
      </w:pPr>
      <w:r>
        <w:fldChar w:fldCharType="begin"/>
      </w:r>
      <w:r>
        <w:instrText xml:space="preserve"> SEQ level0 \*arabic </w:instrText>
      </w:r>
      <w:r>
        <w:fldChar w:fldCharType="separate"/>
      </w:r>
      <w:r w:rsidR="00E555B3">
        <w:rPr>
          <w:noProof/>
        </w:rPr>
        <w:t>39</w:t>
      </w:r>
      <w:r>
        <w:fldChar w:fldCharType="end"/>
      </w:r>
      <w:r>
        <w:t>.  </w:t>
      </w:r>
      <w:r w:rsidR="0036010E">
        <w:t>Le</w:t>
      </w:r>
      <w:r w:rsidR="00815E81">
        <w:t>s autres</w:t>
      </w:r>
      <w:r w:rsidR="0036010E">
        <w:t xml:space="preserve"> enfants requérants, soit </w:t>
      </w:r>
      <w:r w:rsidR="00815E81">
        <w:t>75</w:t>
      </w:r>
      <w:r w:rsidR="0036010E">
        <w:t xml:space="preserve"> </w:t>
      </w:r>
      <w:r w:rsidR="00815E81">
        <w:t xml:space="preserve">enfants </w:t>
      </w:r>
      <w:r w:rsidR="0036010E">
        <w:t xml:space="preserve">sur </w:t>
      </w:r>
      <w:r w:rsidR="00815E81">
        <w:t>98</w:t>
      </w:r>
      <w:r w:rsidR="0036010E">
        <w:t>, n</w:t>
      </w:r>
      <w:r w:rsidR="00C419B2">
        <w:t>’</w:t>
      </w:r>
      <w:r w:rsidR="00377A40">
        <w:t>auraient</w:t>
      </w:r>
      <w:r w:rsidR="0036010E">
        <w:t xml:space="preserve"> pas </w:t>
      </w:r>
      <w:r w:rsidR="00377A40">
        <w:t xml:space="preserve">été </w:t>
      </w:r>
      <w:r w:rsidR="0036010E">
        <w:t>inscrits à l</w:t>
      </w:r>
      <w:r w:rsidR="00C419B2">
        <w:t>’</w:t>
      </w:r>
      <w:r w:rsidR="0036010E">
        <w:t>école et n</w:t>
      </w:r>
      <w:r w:rsidR="00C419B2">
        <w:t>’</w:t>
      </w:r>
      <w:r w:rsidR="0036010E">
        <w:t>a</w:t>
      </w:r>
      <w:r w:rsidR="00377A40">
        <w:t>ur</w:t>
      </w:r>
      <w:r w:rsidR="0036010E">
        <w:t xml:space="preserve">aient pas </w:t>
      </w:r>
      <w:r w:rsidR="00377A40">
        <w:t xml:space="preserve">eu </w:t>
      </w:r>
      <w:r w:rsidR="0071537A">
        <w:t xml:space="preserve">la </w:t>
      </w:r>
      <w:r w:rsidR="0036010E">
        <w:t>qualité d</w:t>
      </w:r>
      <w:r w:rsidR="00C419B2">
        <w:t>’</w:t>
      </w:r>
      <w:r w:rsidR="0036010E">
        <w:t>élève de la 12</w:t>
      </w:r>
      <w:r w:rsidR="0036010E" w:rsidRPr="0036010E">
        <w:rPr>
          <w:vertAlign w:val="superscript"/>
        </w:rPr>
        <w:t>e</w:t>
      </w:r>
      <w:r w:rsidR="0036010E">
        <w:t xml:space="preserve"> école.</w:t>
      </w:r>
    </w:p>
    <w:p w:rsidR="0036010E" w:rsidRDefault="009D302D" w:rsidP="009D302D">
      <w:pPr>
        <w:pStyle w:val="JuHa0"/>
      </w:pPr>
      <w:r>
        <w:t>b)</w:t>
      </w:r>
      <w:r w:rsidR="000D4D54">
        <w:t>  Année scolaire 2009/2010</w:t>
      </w:r>
    </w:p>
    <w:p w:rsidR="0036010E" w:rsidRDefault="00970717" w:rsidP="009A4473">
      <w:pPr>
        <w:pStyle w:val="JuPara"/>
      </w:pPr>
      <w:r>
        <w:fldChar w:fldCharType="begin"/>
      </w:r>
      <w:r>
        <w:instrText xml:space="preserve"> SEQ level0 \*arabic </w:instrText>
      </w:r>
      <w:r>
        <w:fldChar w:fldCharType="separate"/>
      </w:r>
      <w:r w:rsidR="00E555B3">
        <w:rPr>
          <w:noProof/>
        </w:rPr>
        <w:t>40</w:t>
      </w:r>
      <w:r>
        <w:fldChar w:fldCharType="end"/>
      </w:r>
      <w:r>
        <w:t>.  </w:t>
      </w:r>
      <w:r w:rsidR="00694875">
        <w:t xml:space="preserve">Sur </w:t>
      </w:r>
      <w:r w:rsidR="00377A40">
        <w:t>l</w:t>
      </w:r>
      <w:r w:rsidR="00C419B2">
        <w:t>’</w:t>
      </w:r>
      <w:r w:rsidR="00694875">
        <w:t xml:space="preserve">intervention du Greek Helsinki Monitor et de </w:t>
      </w:r>
      <w:r w:rsidR="005E4AD7">
        <w:t>son directeur exécutif</w:t>
      </w:r>
      <w:r w:rsidR="00717C52">
        <w:t xml:space="preserve"> </w:t>
      </w:r>
      <w:r w:rsidR="005E4AD7">
        <w:t xml:space="preserve">agissant </w:t>
      </w:r>
      <w:r w:rsidR="00717C52">
        <w:t xml:space="preserve">en sa qualité de représentant des parents, </w:t>
      </w:r>
      <w:r w:rsidR="00694875">
        <w:t>la 12</w:t>
      </w:r>
      <w:r w:rsidR="00694875" w:rsidRPr="00694875">
        <w:rPr>
          <w:vertAlign w:val="superscript"/>
        </w:rPr>
        <w:t>e</w:t>
      </w:r>
      <w:r w:rsidR="00694875">
        <w:t xml:space="preserve"> école </w:t>
      </w:r>
      <w:r w:rsidR="00377A40">
        <w:t xml:space="preserve">aurait </w:t>
      </w:r>
      <w:r w:rsidR="00717C52">
        <w:t>procéd</w:t>
      </w:r>
      <w:r w:rsidR="00377A40">
        <w:t>é</w:t>
      </w:r>
      <w:r w:rsidR="00717C52">
        <w:t xml:space="preserve"> à l</w:t>
      </w:r>
      <w:r w:rsidR="00C419B2">
        <w:t>’</w:t>
      </w:r>
      <w:r w:rsidR="00717C52">
        <w:t>inscription de l</w:t>
      </w:r>
      <w:r w:rsidR="00C419B2">
        <w:t>’</w:t>
      </w:r>
      <w:r w:rsidR="00717C52">
        <w:t>ensemble des enfants requérants, à l</w:t>
      </w:r>
      <w:r w:rsidR="00C419B2">
        <w:t>’</w:t>
      </w:r>
      <w:r w:rsidR="00717C52">
        <w:t>exception d</w:t>
      </w:r>
      <w:r w:rsidR="00C419B2">
        <w:t>’</w:t>
      </w:r>
      <w:r w:rsidR="00717C52">
        <w:t xml:space="preserve">Ako Sampani, </w:t>
      </w:r>
      <w:r w:rsidR="00377A40">
        <w:t xml:space="preserve">de </w:t>
      </w:r>
      <w:r w:rsidR="00717C52">
        <w:t xml:space="preserve">Vasiliki Sampani, </w:t>
      </w:r>
      <w:r w:rsidR="00377A40">
        <w:t>d</w:t>
      </w:r>
      <w:r w:rsidR="00C419B2">
        <w:t>’</w:t>
      </w:r>
      <w:r w:rsidR="00717C52">
        <w:t>Ako Pasios</w:t>
      </w:r>
      <w:r w:rsidR="00B558AE">
        <w:t xml:space="preserve"> </w:t>
      </w:r>
      <w:r w:rsidR="00717C52">
        <w:t xml:space="preserve">et </w:t>
      </w:r>
      <w:r w:rsidR="00377A40">
        <w:t xml:space="preserve">de </w:t>
      </w:r>
      <w:r w:rsidR="00717C52">
        <w:t>Paraskevi Sampani. Cette dernière avait achevé s</w:t>
      </w:r>
      <w:r w:rsidR="00815E81">
        <w:t>on cycle</w:t>
      </w:r>
      <w:r w:rsidR="00717C52">
        <w:t xml:space="preserve"> primaire en 2008 dans une école autre que la 12</w:t>
      </w:r>
      <w:r w:rsidR="00717C52" w:rsidRPr="00717C52">
        <w:rPr>
          <w:vertAlign w:val="superscript"/>
        </w:rPr>
        <w:t>e</w:t>
      </w:r>
      <w:r w:rsidR="00717C52">
        <w:t xml:space="preserve"> école d</w:t>
      </w:r>
      <w:r w:rsidR="00C419B2">
        <w:t>’</w:t>
      </w:r>
      <w:r w:rsidR="00717C52">
        <w:t xml:space="preserve">Aspropyrgos. </w:t>
      </w:r>
      <w:r w:rsidR="00815E81">
        <w:t>Parmi les</w:t>
      </w:r>
      <w:r w:rsidR="00717C52">
        <w:t xml:space="preserve"> élèves inscrits</w:t>
      </w:r>
      <w:r w:rsidR="00815E81">
        <w:t>,</w:t>
      </w:r>
      <w:r w:rsidR="00717C52">
        <w:t xml:space="preserve"> </w:t>
      </w:r>
      <w:r w:rsidR="00950ADE">
        <w:t>59 </w:t>
      </w:r>
      <w:r w:rsidR="00377A40">
        <w:t xml:space="preserve">auraient </w:t>
      </w:r>
      <w:r w:rsidR="00717C52">
        <w:t>abandonn</w:t>
      </w:r>
      <w:r w:rsidR="00377A40">
        <w:t>é</w:t>
      </w:r>
      <w:r w:rsidR="00717C52">
        <w:t xml:space="preserve"> l</w:t>
      </w:r>
      <w:r w:rsidR="00C419B2">
        <w:t>’</w:t>
      </w:r>
      <w:r w:rsidR="00717C52">
        <w:t>école</w:t>
      </w:r>
      <w:r w:rsidR="00450F5A">
        <w:t xml:space="preserve"> en cours d</w:t>
      </w:r>
      <w:r w:rsidR="00C419B2">
        <w:t>’</w:t>
      </w:r>
      <w:r w:rsidR="00450F5A">
        <w:t>année</w:t>
      </w:r>
      <w:r w:rsidR="00717C52">
        <w:t xml:space="preserve">. La scolarité des </w:t>
      </w:r>
      <w:r w:rsidR="00815E81">
        <w:t>35</w:t>
      </w:r>
      <w:r w:rsidR="00717C52">
        <w:t xml:space="preserve"> autres </w:t>
      </w:r>
      <w:r w:rsidR="00377A40">
        <w:t xml:space="preserve">aurait été </w:t>
      </w:r>
      <w:r w:rsidR="00717C52">
        <w:t>occasionnelle.</w:t>
      </w:r>
    </w:p>
    <w:p w:rsidR="00A84C8A" w:rsidRDefault="00A84C8A" w:rsidP="00A84C8A">
      <w:pPr>
        <w:pStyle w:val="JuH1"/>
      </w:pPr>
      <w:r>
        <w:t>2.  Thèse des requérants</w:t>
      </w:r>
    </w:p>
    <w:p w:rsidR="00A84C8A" w:rsidRDefault="00970717" w:rsidP="009A4473">
      <w:pPr>
        <w:pStyle w:val="JuPara"/>
      </w:pPr>
      <w:r>
        <w:fldChar w:fldCharType="begin"/>
      </w:r>
      <w:r>
        <w:instrText xml:space="preserve"> SEQ level0 \*arabic </w:instrText>
      </w:r>
      <w:r>
        <w:fldChar w:fldCharType="separate"/>
      </w:r>
      <w:r w:rsidR="00E555B3">
        <w:rPr>
          <w:noProof/>
        </w:rPr>
        <w:t>41</w:t>
      </w:r>
      <w:r>
        <w:fldChar w:fldCharType="end"/>
      </w:r>
      <w:r>
        <w:t>.  </w:t>
      </w:r>
      <w:r w:rsidR="00F30B10">
        <w:t xml:space="preserve">En premier lieu, les requérants </w:t>
      </w:r>
      <w:r w:rsidR="00815E81">
        <w:t>allèguent</w:t>
      </w:r>
      <w:r w:rsidR="00F30B10">
        <w:t xml:space="preserve"> que la divulgation </w:t>
      </w:r>
      <w:r w:rsidR="005C7469">
        <w:t xml:space="preserve">par le Gouvernement </w:t>
      </w:r>
      <w:r w:rsidR="00F30B10">
        <w:t>des éléments</w:t>
      </w:r>
      <w:r w:rsidR="005C7469">
        <w:t xml:space="preserve"> ci-dessus</w:t>
      </w:r>
      <w:r w:rsidR="00F30B10">
        <w:t xml:space="preserve"> les concernant personnellement constitue une violation de la loi n</w:t>
      </w:r>
      <w:r w:rsidR="009202F2" w:rsidRPr="009202F2">
        <w:rPr>
          <w:vertAlign w:val="superscript"/>
        </w:rPr>
        <w:t>o</w:t>
      </w:r>
      <w:r w:rsidR="00F30B10">
        <w:t xml:space="preserve"> 2472/1997</w:t>
      </w:r>
      <w:r w:rsidR="00DC4EFF">
        <w:t xml:space="preserve"> relative à la protection des données personnelles,</w:t>
      </w:r>
      <w:r w:rsidR="00F30B10">
        <w:t xml:space="preserve"> et de l</w:t>
      </w:r>
      <w:r w:rsidR="00C419B2">
        <w:t>’</w:t>
      </w:r>
      <w:r w:rsidR="00F30B10">
        <w:t>article</w:t>
      </w:r>
      <w:r w:rsidR="00607931">
        <w:t xml:space="preserve"> 8 de la Convention.</w:t>
      </w:r>
    </w:p>
    <w:p w:rsidR="00160A5A" w:rsidRDefault="00970717" w:rsidP="009A4473">
      <w:pPr>
        <w:pStyle w:val="JuPara"/>
      </w:pPr>
      <w:r>
        <w:fldChar w:fldCharType="begin"/>
      </w:r>
      <w:r>
        <w:instrText xml:space="preserve"> SEQ level0 \*arabic </w:instrText>
      </w:r>
      <w:r>
        <w:fldChar w:fldCharType="separate"/>
      </w:r>
      <w:r w:rsidR="00E555B3">
        <w:rPr>
          <w:noProof/>
        </w:rPr>
        <w:t>42</w:t>
      </w:r>
      <w:r>
        <w:fldChar w:fldCharType="end"/>
      </w:r>
      <w:r>
        <w:t>.  </w:t>
      </w:r>
      <w:r w:rsidR="00815E81">
        <w:t>En deuxième lieu, ils indiquent</w:t>
      </w:r>
      <w:r w:rsidR="005C7469">
        <w:t xml:space="preserve"> que ces éléments ne sont pas fiables : les termes employés par l</w:t>
      </w:r>
      <w:r w:rsidR="0044729E">
        <w:t>e Gouvernement</w:t>
      </w:r>
      <w:r w:rsidR="005C7469">
        <w:t>, tels que scolarité « suffisante » et « occasionnelle »</w:t>
      </w:r>
      <w:r w:rsidR="00036DF3">
        <w:t>,</w:t>
      </w:r>
      <w:r w:rsidR="005C7469">
        <w:t xml:space="preserve"> s</w:t>
      </w:r>
      <w:r w:rsidR="00DD3733">
        <w:t>eraient</w:t>
      </w:r>
      <w:r w:rsidR="005C7469">
        <w:t xml:space="preserve"> vagues, ce qui </w:t>
      </w:r>
      <w:r w:rsidR="00DD3733">
        <w:t xml:space="preserve">indiquerait </w:t>
      </w:r>
      <w:r w:rsidR="005C7469">
        <w:t>que les autorités de la 12</w:t>
      </w:r>
      <w:r w:rsidR="005C7469" w:rsidRPr="005C7469">
        <w:rPr>
          <w:vertAlign w:val="superscript"/>
        </w:rPr>
        <w:t>e</w:t>
      </w:r>
      <w:r w:rsidR="005C7469">
        <w:t xml:space="preserve"> école n</w:t>
      </w:r>
      <w:r w:rsidR="00C419B2">
        <w:t>’</w:t>
      </w:r>
      <w:r w:rsidR="00036DF3">
        <w:t>avaie</w:t>
      </w:r>
      <w:r w:rsidR="005C7469">
        <w:t xml:space="preserve">nt pas un aperçu précis de la scolarité des requérants mais </w:t>
      </w:r>
      <w:r w:rsidR="00DD3733">
        <w:t>qu</w:t>
      </w:r>
      <w:r w:rsidR="00C419B2">
        <w:t>’</w:t>
      </w:r>
      <w:r w:rsidR="00DD3733">
        <w:t xml:space="preserve">elles </w:t>
      </w:r>
      <w:r w:rsidR="005C7469">
        <w:t>se</w:t>
      </w:r>
      <w:r w:rsidR="00036DF3">
        <w:t xml:space="preserve"> </w:t>
      </w:r>
      <w:r w:rsidR="00694301">
        <w:t>fond</w:t>
      </w:r>
      <w:r w:rsidR="00DD3733">
        <w:t>aient</w:t>
      </w:r>
      <w:r w:rsidR="005C7469">
        <w:t xml:space="preserve"> sur des impressions.</w:t>
      </w:r>
      <w:r w:rsidR="00036DF3">
        <w:t xml:space="preserve"> De plus, les informations fourni</w:t>
      </w:r>
      <w:r w:rsidR="00B667E4">
        <w:t>e</w:t>
      </w:r>
      <w:r w:rsidR="00036DF3">
        <w:t xml:space="preserve">s par le Gouvernement quant à certains des élèves requérants </w:t>
      </w:r>
      <w:r w:rsidR="00DD3733">
        <w:t xml:space="preserve">auraient </w:t>
      </w:r>
      <w:r w:rsidR="00036DF3">
        <w:t>contredi</w:t>
      </w:r>
      <w:r w:rsidR="00DD3733">
        <w:t>t</w:t>
      </w:r>
      <w:r w:rsidR="00036DF3">
        <w:t xml:space="preserve"> celles </w:t>
      </w:r>
      <w:r w:rsidR="00DD3733">
        <w:t xml:space="preserve">produites par </w:t>
      </w:r>
      <w:r w:rsidR="00036DF3">
        <w:t>le Gouvernement dans le cadre de l</w:t>
      </w:r>
      <w:r w:rsidR="00C419B2">
        <w:t>’</w:t>
      </w:r>
      <w:r w:rsidR="00036DF3">
        <w:t>exécution de l</w:t>
      </w:r>
      <w:r w:rsidR="00C419B2">
        <w:t>’</w:t>
      </w:r>
      <w:r w:rsidR="00036DF3">
        <w:t xml:space="preserve">arrêt </w:t>
      </w:r>
      <w:r w:rsidR="00036DF3" w:rsidRPr="00036DF3">
        <w:rPr>
          <w:i/>
        </w:rPr>
        <w:t>Sampanis et autres c. Grèce</w:t>
      </w:r>
      <w:r w:rsidR="00036DF3">
        <w:t xml:space="preserve"> </w:t>
      </w:r>
      <w:r w:rsidR="0044729E">
        <w:t>(</w:t>
      </w:r>
      <w:r w:rsidR="00036DF3">
        <w:t>précité</w:t>
      </w:r>
      <w:r w:rsidR="0044729E">
        <w:t>)</w:t>
      </w:r>
      <w:r w:rsidR="00036DF3">
        <w:t>.</w:t>
      </w:r>
    </w:p>
    <w:p w:rsidR="00222AEA" w:rsidRPr="000E496D" w:rsidRDefault="00222AEA" w:rsidP="00222AEA">
      <w:pPr>
        <w:pStyle w:val="JuHIRoman"/>
        <w:outlineLvl w:val="0"/>
      </w:pPr>
      <w:r w:rsidRPr="000E496D">
        <w:t>II</w:t>
      </w:r>
      <w:r>
        <w:t>.  LE DROIT ET LA PRATIQUE INTERNES PERTINENTS</w:t>
      </w:r>
    </w:p>
    <w:p w:rsidR="009C5770" w:rsidRPr="009C5770" w:rsidRDefault="00970717" w:rsidP="009C5770">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43</w:t>
      </w:r>
      <w:r>
        <w:rPr>
          <w:rStyle w:val="sb8d990e2"/>
        </w:rPr>
        <w:fldChar w:fldCharType="end"/>
      </w:r>
      <w:r>
        <w:rPr>
          <w:rStyle w:val="sb8d990e2"/>
        </w:rPr>
        <w:t>.  </w:t>
      </w:r>
      <w:r w:rsidR="009C5770" w:rsidRPr="009C5770">
        <w:rPr>
          <w:rStyle w:val="sb8d990e2"/>
        </w:rPr>
        <w:t xml:space="preserve">Les articles pertinents </w:t>
      </w:r>
      <w:r w:rsidR="00DD3733">
        <w:rPr>
          <w:rStyle w:val="sb8d990e2"/>
        </w:rPr>
        <w:t>en l</w:t>
      </w:r>
      <w:r w:rsidR="00C419B2">
        <w:rPr>
          <w:rStyle w:val="sb8d990e2"/>
        </w:rPr>
        <w:t>’</w:t>
      </w:r>
      <w:r w:rsidR="00DD3733">
        <w:rPr>
          <w:rStyle w:val="sb8d990e2"/>
        </w:rPr>
        <w:t xml:space="preserve">espèce </w:t>
      </w:r>
      <w:r w:rsidR="009C5770" w:rsidRPr="009C5770">
        <w:rPr>
          <w:rStyle w:val="sb8d990e2"/>
        </w:rPr>
        <w:t xml:space="preserve">du </w:t>
      </w:r>
      <w:r w:rsidR="009C5770" w:rsidRPr="009C5770">
        <w:rPr>
          <w:rStyle w:val="wordhighlighted"/>
        </w:rPr>
        <w:t>décret</w:t>
      </w:r>
      <w:r w:rsidR="009C5770" w:rsidRPr="009C5770">
        <w:rPr>
          <w:rStyle w:val="sb8d990e2"/>
        </w:rPr>
        <w:t xml:space="preserve"> législatif n</w:t>
      </w:r>
      <w:r w:rsidR="009C5770" w:rsidRPr="00DD3733">
        <w:rPr>
          <w:rStyle w:val="sea881cdf"/>
          <w:vertAlign w:val="superscript"/>
        </w:rPr>
        <w:t>o</w:t>
      </w:r>
      <w:r w:rsidR="009C5770" w:rsidRPr="009C5770">
        <w:rPr>
          <w:rStyle w:val="sb8d990e2"/>
        </w:rPr>
        <w:t xml:space="preserve"> </w:t>
      </w:r>
      <w:r w:rsidR="009C5770" w:rsidRPr="009C5770">
        <w:rPr>
          <w:rStyle w:val="wordhighlighted"/>
        </w:rPr>
        <w:t>18/1989</w:t>
      </w:r>
      <w:r w:rsidR="009C5770" w:rsidRPr="009C5770">
        <w:rPr>
          <w:rStyle w:val="sb8d990e2"/>
        </w:rPr>
        <w:t xml:space="preserve"> sur la </w:t>
      </w:r>
      <w:r w:rsidR="0044729E">
        <w:rPr>
          <w:rStyle w:val="s6b621b36"/>
        </w:rPr>
        <w:t>c</w:t>
      </w:r>
      <w:r w:rsidR="009C5770" w:rsidRPr="009C5770">
        <w:rPr>
          <w:rStyle w:val="s6b621b36"/>
        </w:rPr>
        <w:t>odification des dispositions des lois sur le Conseil d</w:t>
      </w:r>
      <w:r w:rsidR="00C419B2">
        <w:rPr>
          <w:rStyle w:val="s6b621b36"/>
        </w:rPr>
        <w:t>’</w:t>
      </w:r>
      <w:r w:rsidR="009C5770" w:rsidRPr="009C5770">
        <w:rPr>
          <w:rStyle w:val="s6b621b36"/>
        </w:rPr>
        <w:t>Etat</w:t>
      </w:r>
      <w:r w:rsidR="009C5770" w:rsidRPr="009C5770">
        <w:rPr>
          <w:rStyle w:val="sb8d990e2"/>
        </w:rPr>
        <w:t xml:space="preserve"> </w:t>
      </w:r>
      <w:r w:rsidR="00DD3733">
        <w:rPr>
          <w:rStyle w:val="sb8d990e2"/>
        </w:rPr>
        <w:t>se lisent comme suit</w:t>
      </w:r>
      <w:r w:rsidR="009C5770" w:rsidRPr="009C5770">
        <w:rPr>
          <w:rStyle w:val="sb8d990e2"/>
        </w:rPr>
        <w:t> :</w:t>
      </w:r>
    </w:p>
    <w:p w:rsidR="009C5770" w:rsidRPr="009C5770" w:rsidRDefault="009C5770" w:rsidP="00561139">
      <w:pPr>
        <w:pStyle w:val="JuQuot"/>
        <w:spacing w:after="0"/>
        <w:jc w:val="center"/>
        <w:rPr>
          <w:b/>
        </w:rPr>
      </w:pPr>
      <w:r w:rsidRPr="009C5770">
        <w:rPr>
          <w:rStyle w:val="wordhighlighted"/>
          <w:b/>
        </w:rPr>
        <w:t>Article</w:t>
      </w:r>
      <w:r w:rsidRPr="009C5770">
        <w:rPr>
          <w:rStyle w:val="sdfc50a6a"/>
          <w:b/>
        </w:rPr>
        <w:t xml:space="preserve"> 45</w:t>
      </w:r>
    </w:p>
    <w:p w:rsidR="009C5770" w:rsidRPr="00DD3733" w:rsidRDefault="009C5770" w:rsidP="00DD3733">
      <w:pPr>
        <w:pStyle w:val="JuQuot"/>
        <w:spacing w:before="0"/>
        <w:jc w:val="center"/>
        <w:rPr>
          <w:b/>
        </w:rPr>
      </w:pPr>
      <w:r w:rsidRPr="00DD3733">
        <w:rPr>
          <w:rStyle w:val="sdfc50a6a"/>
          <w:b/>
        </w:rPr>
        <w:t>Actes incriminés</w:t>
      </w:r>
    </w:p>
    <w:p w:rsidR="009C5770" w:rsidRPr="009C5770" w:rsidRDefault="009C5770" w:rsidP="009C5770">
      <w:pPr>
        <w:pStyle w:val="JuQuot"/>
      </w:pPr>
      <w:r w:rsidRPr="009C5770">
        <w:rPr>
          <w:rStyle w:val="sfbbfee58"/>
        </w:rPr>
        <w:t>« 1.</w:t>
      </w:r>
      <w:r w:rsidR="00E17BFF">
        <w:rPr>
          <w:rStyle w:val="sfbbfee58"/>
        </w:rPr>
        <w:t>  </w:t>
      </w:r>
      <w:r w:rsidRPr="009C5770">
        <w:rPr>
          <w:rStyle w:val="sfbbfee58"/>
        </w:rPr>
        <w:t xml:space="preserve">Le recours en annulation pour excès de pouvoir ou violation de la loi est recevable uniquement contre les actes exécutoires des autorités administratives et des personnes morales de droit public qui </w:t>
      </w:r>
      <w:r w:rsidRPr="009C5770">
        <w:rPr>
          <w:rStyle w:val="wordhighlighted"/>
        </w:rPr>
        <w:t>ne</w:t>
      </w:r>
      <w:r w:rsidRPr="009C5770">
        <w:rPr>
          <w:rStyle w:val="sfbbfee58"/>
        </w:rPr>
        <w:t xml:space="preserve"> sont susceptibles de recours devant aucune autre juridiction.</w:t>
      </w:r>
    </w:p>
    <w:p w:rsidR="009C5770" w:rsidRPr="009C5770" w:rsidRDefault="009C5770" w:rsidP="009C5770">
      <w:pPr>
        <w:pStyle w:val="JuQuot"/>
      </w:pPr>
      <w:r w:rsidRPr="009C5770">
        <w:rPr>
          <w:rStyle w:val="sfbbfee58"/>
        </w:rPr>
        <w:t>(...)</w:t>
      </w:r>
    </w:p>
    <w:p w:rsidR="009C5770" w:rsidRPr="009C5770" w:rsidRDefault="009C5770" w:rsidP="009C5770">
      <w:pPr>
        <w:pStyle w:val="JuQuot"/>
      </w:pPr>
      <w:r w:rsidRPr="009C5770">
        <w:rPr>
          <w:rStyle w:val="sfbbfee58"/>
        </w:rPr>
        <w:t>4.</w:t>
      </w:r>
      <w:r w:rsidR="00E17BFF">
        <w:rPr>
          <w:rStyle w:val="sfbbfee58"/>
        </w:rPr>
        <w:t>  </w:t>
      </w:r>
      <w:r w:rsidRPr="009C5770">
        <w:rPr>
          <w:rStyle w:val="sfbbfee58"/>
        </w:rPr>
        <w:t>Dans les cas où la loi impose à une autorité de régler une question déterminée en édictant un acte exécutoire soumis aux dispositions du paragraphe 1, le recours en annulation est recevable même contre la carence de cette autorité à édicter un tel acte.</w:t>
      </w:r>
    </w:p>
    <w:p w:rsidR="009C5770" w:rsidRPr="009C5770" w:rsidRDefault="009C5770" w:rsidP="009C5770">
      <w:pPr>
        <w:pStyle w:val="JuQuot"/>
      </w:pPr>
      <w:r w:rsidRPr="009C5770">
        <w:rPr>
          <w:rStyle w:val="sfbbfee58"/>
        </w:rPr>
        <w:t>L</w:t>
      </w:r>
      <w:r w:rsidR="00C419B2">
        <w:rPr>
          <w:rStyle w:val="sfbbfee58"/>
        </w:rPr>
        <w:t>’</w:t>
      </w:r>
      <w:r w:rsidRPr="009C5770">
        <w:rPr>
          <w:rStyle w:val="sfbbfee58"/>
        </w:rPr>
        <w:t>autorité est présumée refuser d</w:t>
      </w:r>
      <w:r w:rsidR="00C419B2">
        <w:rPr>
          <w:rStyle w:val="sfbbfee58"/>
        </w:rPr>
        <w:t>’</w:t>
      </w:r>
      <w:r w:rsidRPr="009C5770">
        <w:rPr>
          <w:rStyle w:val="sfbbfee58"/>
        </w:rPr>
        <w:t>édicter l</w:t>
      </w:r>
      <w:r w:rsidR="00C419B2">
        <w:rPr>
          <w:rStyle w:val="sfbbfee58"/>
        </w:rPr>
        <w:t>’</w:t>
      </w:r>
      <w:r w:rsidRPr="009C5770">
        <w:rPr>
          <w:rStyle w:val="sfbbfee58"/>
        </w:rPr>
        <w:t xml:space="preserve">acte soit lorsque le délai spécial fixé </w:t>
      </w:r>
      <w:r w:rsidR="00E17BFF">
        <w:rPr>
          <w:rStyle w:val="sfbbfee58"/>
        </w:rPr>
        <w:t xml:space="preserve">le cas échéant </w:t>
      </w:r>
      <w:r w:rsidRPr="009C5770">
        <w:rPr>
          <w:rStyle w:val="sfbbfee58"/>
        </w:rPr>
        <w:t>par la loi arrive à expiration, soit après l</w:t>
      </w:r>
      <w:r w:rsidR="00C419B2">
        <w:rPr>
          <w:rStyle w:val="sfbbfee58"/>
        </w:rPr>
        <w:t>’</w:t>
      </w:r>
      <w:r w:rsidRPr="009C5770">
        <w:rPr>
          <w:rStyle w:val="sfbbfee58"/>
        </w:rPr>
        <w:t>écoulement d</w:t>
      </w:r>
      <w:r w:rsidR="00C419B2">
        <w:rPr>
          <w:rStyle w:val="sfbbfee58"/>
        </w:rPr>
        <w:t>’</w:t>
      </w:r>
      <w:r w:rsidRPr="009C5770">
        <w:rPr>
          <w:rStyle w:val="sfbbfee58"/>
        </w:rPr>
        <w:t>un délai de trois mois à partir du dépôt de la requête auprès de l</w:t>
      </w:r>
      <w:r w:rsidR="00C419B2">
        <w:rPr>
          <w:rStyle w:val="sfbbfee58"/>
        </w:rPr>
        <w:t>’</w:t>
      </w:r>
      <w:r w:rsidRPr="009C5770">
        <w:rPr>
          <w:rStyle w:val="sfbbfee58"/>
        </w:rPr>
        <w:t>administration, qui est tenue de délivrer un accusé de réception (...) indiquant le jour dudit dépôt. Le recours en annulation exercé avant l</w:t>
      </w:r>
      <w:r w:rsidR="00C419B2">
        <w:rPr>
          <w:rStyle w:val="sfbbfee58"/>
        </w:rPr>
        <w:t>’</w:t>
      </w:r>
      <w:r w:rsidRPr="009C5770">
        <w:rPr>
          <w:rStyle w:val="sfbbfee58"/>
        </w:rPr>
        <w:t>expiration des délais susmentionnés est irrecevable.</w:t>
      </w:r>
    </w:p>
    <w:p w:rsidR="009C5770" w:rsidRDefault="009C5770" w:rsidP="009C5770">
      <w:pPr>
        <w:pStyle w:val="JuQuot"/>
        <w:rPr>
          <w:rStyle w:val="sfbbfee58"/>
        </w:rPr>
      </w:pPr>
      <w:r w:rsidRPr="009C5770">
        <w:rPr>
          <w:rStyle w:val="sfbbfee58"/>
        </w:rPr>
        <w:t>Le recours en annulation valablement introduit contre un refus implicite [de l</w:t>
      </w:r>
      <w:r w:rsidR="00C419B2">
        <w:rPr>
          <w:rStyle w:val="sfbbfee58"/>
        </w:rPr>
        <w:t>’</w:t>
      </w:r>
      <w:r w:rsidRPr="009C5770">
        <w:rPr>
          <w:rStyle w:val="sfbbfee58"/>
        </w:rPr>
        <w:t>administration] vaut également recours contre l</w:t>
      </w:r>
      <w:r w:rsidR="00C419B2">
        <w:rPr>
          <w:rStyle w:val="sfbbfee58"/>
        </w:rPr>
        <w:t>’</w:t>
      </w:r>
      <w:r w:rsidRPr="009C5770">
        <w:rPr>
          <w:rStyle w:val="sfbbfee58"/>
        </w:rPr>
        <w:t xml:space="preserve">acte </w:t>
      </w:r>
      <w:r w:rsidRPr="009C5770">
        <w:rPr>
          <w:rStyle w:val="wordhighlighted"/>
        </w:rPr>
        <w:t>né</w:t>
      </w:r>
      <w:r w:rsidRPr="009C5770">
        <w:rPr>
          <w:rStyle w:val="sfbbfee58"/>
        </w:rPr>
        <w:t>gatif qui serait</w:t>
      </w:r>
      <w:r w:rsidR="00E17BFF">
        <w:rPr>
          <w:rStyle w:val="sfbbfee58"/>
        </w:rPr>
        <w:t>,</w:t>
      </w:r>
      <w:r w:rsidRPr="009C5770">
        <w:rPr>
          <w:rStyle w:val="sfbbfee58"/>
        </w:rPr>
        <w:t xml:space="preserve"> le cas échéant</w:t>
      </w:r>
      <w:r w:rsidR="00E17BFF">
        <w:rPr>
          <w:rStyle w:val="sfbbfee58"/>
        </w:rPr>
        <w:t>,</w:t>
      </w:r>
      <w:r w:rsidRPr="009C5770">
        <w:rPr>
          <w:rStyle w:val="sfbbfee58"/>
        </w:rPr>
        <w:t xml:space="preserve"> adopté ultérieurement par l</w:t>
      </w:r>
      <w:r w:rsidR="00C419B2">
        <w:rPr>
          <w:rStyle w:val="sfbbfee58"/>
        </w:rPr>
        <w:t>’</w:t>
      </w:r>
      <w:r w:rsidRPr="009C5770">
        <w:rPr>
          <w:rStyle w:val="sfbbfee58"/>
        </w:rPr>
        <w:t>administration</w:t>
      </w:r>
      <w:r w:rsidR="00E17BFF">
        <w:rPr>
          <w:rStyle w:val="sfbbfee58"/>
        </w:rPr>
        <w:t> ;</w:t>
      </w:r>
      <w:r w:rsidRPr="009C5770">
        <w:rPr>
          <w:rStyle w:val="sfbbfee58"/>
        </w:rPr>
        <w:t xml:space="preserve"> toutefois, cet acte peut aussi être attaqué séparément. »</w:t>
      </w:r>
    </w:p>
    <w:p w:rsidR="001C1567" w:rsidRPr="001C1567" w:rsidRDefault="001C1567" w:rsidP="001C1567">
      <w:pPr>
        <w:pStyle w:val="JuQuot"/>
        <w:jc w:val="center"/>
        <w:rPr>
          <w:b/>
        </w:rPr>
      </w:pPr>
      <w:r w:rsidRPr="001C1567">
        <w:rPr>
          <w:rStyle w:val="wordhighlighted"/>
          <w:b/>
        </w:rPr>
        <w:t>Article</w:t>
      </w:r>
      <w:r w:rsidRPr="001C1567">
        <w:rPr>
          <w:rStyle w:val="sdfc50a6a"/>
          <w:b/>
        </w:rPr>
        <w:t xml:space="preserve"> 48</w:t>
      </w:r>
    </w:p>
    <w:p w:rsidR="001C1567" w:rsidRPr="001C1567" w:rsidRDefault="001C1567" w:rsidP="001C1567">
      <w:pPr>
        <w:pStyle w:val="JuQuot"/>
      </w:pPr>
      <w:r w:rsidRPr="001C1567">
        <w:rPr>
          <w:rStyle w:val="sfbbfee58"/>
        </w:rPr>
        <w:t>« Les moyens d</w:t>
      </w:r>
      <w:r w:rsidR="00C419B2">
        <w:rPr>
          <w:rStyle w:val="sfbbfee58"/>
        </w:rPr>
        <w:t>’</w:t>
      </w:r>
      <w:r w:rsidRPr="001C1567">
        <w:rPr>
          <w:rStyle w:val="sfbbfee58"/>
        </w:rPr>
        <w:t>un recours en annulation sont :</w:t>
      </w:r>
    </w:p>
    <w:p w:rsidR="001C1567" w:rsidRPr="001C1567" w:rsidRDefault="001C1567" w:rsidP="001C1567">
      <w:pPr>
        <w:pStyle w:val="JuQuot"/>
      </w:pPr>
      <w:r w:rsidRPr="001C1567">
        <w:rPr>
          <w:rStyle w:val="sfbbfee58"/>
        </w:rPr>
        <w:t>1</w:t>
      </w:r>
      <w:r w:rsidR="00E17BFF">
        <w:rPr>
          <w:rStyle w:val="sfbbfee58"/>
        </w:rPr>
        <w:t>.  l</w:t>
      </w:r>
      <w:r w:rsidR="00C419B2">
        <w:rPr>
          <w:rStyle w:val="sfbbfee58"/>
        </w:rPr>
        <w:t>’</w:t>
      </w:r>
      <w:r w:rsidRPr="001C1567">
        <w:rPr>
          <w:rStyle w:val="sfbbfee58"/>
        </w:rPr>
        <w:t>incompétence de l</w:t>
      </w:r>
      <w:r w:rsidR="00C419B2">
        <w:rPr>
          <w:rStyle w:val="sfbbfee58"/>
        </w:rPr>
        <w:t>’</w:t>
      </w:r>
      <w:r w:rsidRPr="001C1567">
        <w:rPr>
          <w:rStyle w:val="sfbbfee58"/>
        </w:rPr>
        <w:t>autorité administrative ayant émis l</w:t>
      </w:r>
      <w:r w:rsidR="00C419B2">
        <w:rPr>
          <w:rStyle w:val="sfbbfee58"/>
        </w:rPr>
        <w:t>’</w:t>
      </w:r>
      <w:r w:rsidRPr="001C1567">
        <w:rPr>
          <w:rStyle w:val="sfbbfee58"/>
        </w:rPr>
        <w:t>acte administratif ;</w:t>
      </w:r>
    </w:p>
    <w:p w:rsidR="001C1567" w:rsidRPr="001C1567" w:rsidRDefault="001C1567" w:rsidP="001C1567">
      <w:pPr>
        <w:pStyle w:val="JuQuot"/>
      </w:pPr>
      <w:r w:rsidRPr="001C1567">
        <w:rPr>
          <w:rStyle w:val="sfbbfee58"/>
        </w:rPr>
        <w:t>2</w:t>
      </w:r>
      <w:r w:rsidR="00E17BFF">
        <w:rPr>
          <w:rStyle w:val="sfbbfee58"/>
        </w:rPr>
        <w:t>.  l</w:t>
      </w:r>
      <w:r w:rsidRPr="001C1567">
        <w:rPr>
          <w:rStyle w:val="sfbbfee58"/>
        </w:rPr>
        <w:t>e vice de forme ;</w:t>
      </w:r>
    </w:p>
    <w:p w:rsidR="001C1567" w:rsidRPr="001C1567" w:rsidRDefault="001C1567" w:rsidP="001C1567">
      <w:pPr>
        <w:pStyle w:val="JuQuot"/>
      </w:pPr>
      <w:r w:rsidRPr="001C1567">
        <w:rPr>
          <w:rStyle w:val="sfbbfee58"/>
        </w:rPr>
        <w:t>3</w:t>
      </w:r>
      <w:r w:rsidR="00E17BFF">
        <w:rPr>
          <w:rStyle w:val="sfbbfee58"/>
        </w:rPr>
        <w:t>.  l</w:t>
      </w:r>
      <w:r w:rsidR="00C419B2">
        <w:rPr>
          <w:rStyle w:val="sfbbfee58"/>
        </w:rPr>
        <w:t>’</w:t>
      </w:r>
      <w:r w:rsidRPr="001C1567">
        <w:rPr>
          <w:rStyle w:val="sfbbfee58"/>
        </w:rPr>
        <w:t>excès de pouvoir ;</w:t>
      </w:r>
    </w:p>
    <w:p w:rsidR="001C1567" w:rsidRPr="001C1567" w:rsidRDefault="001C1567" w:rsidP="001C1567">
      <w:pPr>
        <w:pStyle w:val="JuQuot"/>
      </w:pPr>
      <w:r w:rsidRPr="001C1567">
        <w:rPr>
          <w:rStyle w:val="sfbbfee58"/>
        </w:rPr>
        <w:t>4</w:t>
      </w:r>
      <w:r w:rsidR="00E17BFF">
        <w:rPr>
          <w:rStyle w:val="sfbbfee58"/>
        </w:rPr>
        <w:t>.  l</w:t>
      </w:r>
      <w:r w:rsidRPr="001C1567">
        <w:rPr>
          <w:rStyle w:val="sfbbfee58"/>
        </w:rPr>
        <w:t>e détournement de pouvoir, lorsque l</w:t>
      </w:r>
      <w:r w:rsidR="00C419B2">
        <w:rPr>
          <w:rStyle w:val="sfbbfee58"/>
        </w:rPr>
        <w:t>’</w:t>
      </w:r>
      <w:r w:rsidRPr="001C1567">
        <w:rPr>
          <w:rStyle w:val="sfbbfee58"/>
        </w:rPr>
        <w:t>acte administratif possède tous les éléments de la légalité, mais vise un autre but que celui pour lequel il a été adopté. »</w:t>
      </w:r>
    </w:p>
    <w:p w:rsidR="0000732D" w:rsidRPr="000E496D" w:rsidRDefault="0000732D" w:rsidP="00B33C50">
      <w:pPr>
        <w:pStyle w:val="JuHIRoman"/>
        <w:outlineLvl w:val="0"/>
      </w:pPr>
      <w:r w:rsidRPr="000E496D">
        <w:t>I</w:t>
      </w:r>
      <w:r w:rsidR="00222AEA">
        <w:t>I</w:t>
      </w:r>
      <w:r w:rsidRPr="000E496D">
        <w:t>I</w:t>
      </w:r>
      <w:r w:rsidR="00D014F4">
        <w:t>.  LES TEXTES INTERNATIONAUX</w:t>
      </w:r>
    </w:p>
    <w:p w:rsidR="006E62E6" w:rsidRDefault="00B40073" w:rsidP="006E62E6">
      <w:pPr>
        <w:pStyle w:val="JuHA"/>
      </w:pPr>
      <w:r>
        <w:t>A.  La Résolution CM/ResDH(2011)119, adoptée par le</w:t>
      </w:r>
      <w:r w:rsidR="006E62E6">
        <w:t xml:space="preserve"> Comité des Ministres du Conseil de l</w:t>
      </w:r>
      <w:r w:rsidR="00C419B2">
        <w:t>’</w:t>
      </w:r>
      <w:r w:rsidR="006E62E6">
        <w:t>Europe</w:t>
      </w:r>
      <w:r>
        <w:t xml:space="preserve"> le 14 septembre 2011 lors de la 1120</w:t>
      </w:r>
      <w:r w:rsidRPr="00B40073">
        <w:rPr>
          <w:vertAlign w:val="superscript"/>
        </w:rPr>
        <w:t>e</w:t>
      </w:r>
      <w:r>
        <w:t xml:space="preserve"> réunion des délégués des Ministres</w:t>
      </w:r>
    </w:p>
    <w:p w:rsidR="006E62E6" w:rsidRDefault="00970717" w:rsidP="006E62E6">
      <w:pPr>
        <w:pStyle w:val="JuPara"/>
      </w:pPr>
      <w:r>
        <w:fldChar w:fldCharType="begin"/>
      </w:r>
      <w:r>
        <w:instrText xml:space="preserve"> SEQ level0 \*arabic </w:instrText>
      </w:r>
      <w:r>
        <w:fldChar w:fldCharType="separate"/>
      </w:r>
      <w:r w:rsidR="00E555B3">
        <w:rPr>
          <w:noProof/>
        </w:rPr>
        <w:t>44</w:t>
      </w:r>
      <w:r>
        <w:fldChar w:fldCharType="end"/>
      </w:r>
      <w:r>
        <w:t>.  </w:t>
      </w:r>
      <w:r w:rsidR="006E62E6" w:rsidRPr="00BB16EA">
        <w:t>En surveillant l</w:t>
      </w:r>
      <w:r w:rsidR="00C419B2">
        <w:t>’</w:t>
      </w:r>
      <w:r w:rsidR="006E62E6" w:rsidRPr="00BB16EA">
        <w:t>exécution de l</w:t>
      </w:r>
      <w:r w:rsidR="00C419B2">
        <w:t>’</w:t>
      </w:r>
      <w:r w:rsidR="006E62E6" w:rsidRPr="00BB16EA">
        <w:t xml:space="preserve">arrêt </w:t>
      </w:r>
      <w:r w:rsidR="006E62E6" w:rsidRPr="00F9447D">
        <w:rPr>
          <w:i/>
        </w:rPr>
        <w:t>Sampanis et autres</w:t>
      </w:r>
      <w:r w:rsidR="006E62E6" w:rsidRPr="00BB16EA">
        <w:t xml:space="preserve"> précité, le Comité d</w:t>
      </w:r>
      <w:r w:rsidR="00B40073">
        <w:t xml:space="preserve">es Ministres a adopté la Résolution </w:t>
      </w:r>
      <w:r w:rsidR="00D014F4">
        <w:t>qui clôturait l</w:t>
      </w:r>
      <w:r w:rsidR="00C419B2">
        <w:t>’</w:t>
      </w:r>
      <w:r w:rsidR="00D014F4">
        <w:t>examen de l</w:t>
      </w:r>
      <w:r w:rsidR="00C419B2">
        <w:t>’</w:t>
      </w:r>
      <w:r w:rsidR="00D014F4">
        <w:t xml:space="preserve">affaire dans les termes </w:t>
      </w:r>
      <w:r w:rsidR="00B40073">
        <w:t>suivant</w:t>
      </w:r>
      <w:r w:rsidR="00D014F4">
        <w:t>s</w:t>
      </w:r>
      <w:r w:rsidR="00B40073">
        <w:t> :</w:t>
      </w:r>
    </w:p>
    <w:p w:rsidR="00B40073" w:rsidRPr="00B40073" w:rsidRDefault="00D014F4" w:rsidP="00D014F4">
      <w:pPr>
        <w:pStyle w:val="JuQuot"/>
      </w:pPr>
      <w:r>
        <w:rPr>
          <w:rStyle w:val="sb8d990e2"/>
        </w:rPr>
        <w:t>« </w:t>
      </w:r>
      <w:r w:rsidR="00B40073" w:rsidRPr="00B40073">
        <w:rPr>
          <w:rStyle w:val="sb8d990e2"/>
        </w:rPr>
        <w:t>Le Comité des Ministres, en vertu de l</w:t>
      </w:r>
      <w:r w:rsidR="00C419B2">
        <w:rPr>
          <w:rStyle w:val="sb8d990e2"/>
        </w:rPr>
        <w:t>’</w:t>
      </w:r>
      <w:r w:rsidR="00B40073" w:rsidRPr="00B40073">
        <w:rPr>
          <w:rStyle w:val="sb8d990e2"/>
        </w:rPr>
        <w:t>article 46, paragraphe 2, de la Convention de sauvegarde des droits de l</w:t>
      </w:r>
      <w:r w:rsidR="00C419B2">
        <w:rPr>
          <w:rStyle w:val="sb8d990e2"/>
        </w:rPr>
        <w:t>’</w:t>
      </w:r>
      <w:r w:rsidR="00B40073" w:rsidRPr="00B40073">
        <w:rPr>
          <w:rStyle w:val="sb8d990e2"/>
        </w:rPr>
        <w:t>homme et des libertés fondamentales, qui prévoit que le Comité surveille l</w:t>
      </w:r>
      <w:r w:rsidR="00C419B2">
        <w:rPr>
          <w:rStyle w:val="sb8d990e2"/>
        </w:rPr>
        <w:t>’</w:t>
      </w:r>
      <w:r w:rsidR="00B40073" w:rsidRPr="00B40073">
        <w:rPr>
          <w:rStyle w:val="sb8d990e2"/>
        </w:rPr>
        <w:t>exécution des arrêts définitifs de la Cour européenne des droits de l</w:t>
      </w:r>
      <w:r w:rsidR="00C419B2">
        <w:rPr>
          <w:rStyle w:val="sb8d990e2"/>
        </w:rPr>
        <w:t>’</w:t>
      </w:r>
      <w:r w:rsidR="00B40073" w:rsidRPr="00B40073">
        <w:rPr>
          <w:rStyle w:val="sb8d990e2"/>
        </w:rPr>
        <w:t>homme (ci-après nommées « la Convention » et « la Cour ») ;</w:t>
      </w:r>
    </w:p>
    <w:p w:rsidR="00B40073" w:rsidRPr="00B40073" w:rsidRDefault="00B40073" w:rsidP="00D014F4">
      <w:pPr>
        <w:pStyle w:val="JuQuot"/>
      </w:pPr>
      <w:r w:rsidRPr="00B40073">
        <w:rPr>
          <w:rStyle w:val="sb8d990e2"/>
        </w:rPr>
        <w:t>Vu l</w:t>
      </w:r>
      <w:r w:rsidR="00C419B2">
        <w:rPr>
          <w:rStyle w:val="sb8d990e2"/>
        </w:rPr>
        <w:t>’</w:t>
      </w:r>
      <w:r w:rsidRPr="00B40073">
        <w:rPr>
          <w:rStyle w:val="sb8d990e2"/>
        </w:rPr>
        <w:t>arrêt transmis par la Cour au Comité une fois définitif ;</w:t>
      </w:r>
    </w:p>
    <w:p w:rsidR="00B40073" w:rsidRPr="00B40073" w:rsidRDefault="00B40073" w:rsidP="00D014F4">
      <w:pPr>
        <w:pStyle w:val="JuQuot"/>
      </w:pPr>
      <w:r w:rsidRPr="00B40073">
        <w:rPr>
          <w:rStyle w:val="sb8d990e2"/>
        </w:rPr>
        <w:t>Rappelant que les violations de la Convention constatées par la Cour dans cette affaire concernent la non-scolarisation des enfants des requérants d</w:t>
      </w:r>
      <w:r w:rsidR="00C419B2">
        <w:rPr>
          <w:rStyle w:val="sb8d990e2"/>
        </w:rPr>
        <w:t>’</w:t>
      </w:r>
      <w:r w:rsidRPr="00B40073">
        <w:rPr>
          <w:rStyle w:val="sb8d990e2"/>
        </w:rPr>
        <w:t>origine rom, puis leur scolarisation dans des classes préparatoires spéciales, ainsi que le défaut de recours effectif pour obtenir un redressement à cet égard (violation de l</w:t>
      </w:r>
      <w:r w:rsidR="00C419B2">
        <w:rPr>
          <w:rStyle w:val="sb8d990e2"/>
        </w:rPr>
        <w:t>’</w:t>
      </w:r>
      <w:r w:rsidRPr="00B40073">
        <w:rPr>
          <w:rStyle w:val="sb8d990e2"/>
        </w:rPr>
        <w:t>article 14 combiné avec l</w:t>
      </w:r>
      <w:r w:rsidR="00C419B2">
        <w:rPr>
          <w:rStyle w:val="sb8d990e2"/>
        </w:rPr>
        <w:t>’</w:t>
      </w:r>
      <w:r w:rsidRPr="00B40073">
        <w:rPr>
          <w:rStyle w:val="sb8d990e2"/>
        </w:rPr>
        <w:t>article 2 du Protocole n</w:t>
      </w:r>
      <w:r w:rsidRPr="00B40073">
        <w:rPr>
          <w:rStyle w:val="sea881cdf"/>
        </w:rPr>
        <w:t>o</w:t>
      </w:r>
      <w:r w:rsidRPr="00B40073">
        <w:rPr>
          <w:rStyle w:val="sb8d990e2"/>
        </w:rPr>
        <w:t> 1 et violation de l</w:t>
      </w:r>
      <w:r w:rsidR="00C419B2">
        <w:rPr>
          <w:rStyle w:val="sb8d990e2"/>
        </w:rPr>
        <w:t>’</w:t>
      </w:r>
      <w:r w:rsidRPr="00B40073">
        <w:rPr>
          <w:rStyle w:val="sb8d990e2"/>
        </w:rPr>
        <w:t>article 13) (voir détails dans l</w:t>
      </w:r>
      <w:r w:rsidR="00C419B2">
        <w:rPr>
          <w:rStyle w:val="sb8d990e2"/>
        </w:rPr>
        <w:t>’</w:t>
      </w:r>
      <w:r w:rsidRPr="00B40073">
        <w:rPr>
          <w:rStyle w:val="sb8d990e2"/>
        </w:rPr>
        <w:t>Annexe) ;</w:t>
      </w:r>
    </w:p>
    <w:p w:rsidR="00B40073" w:rsidRPr="00B40073" w:rsidRDefault="00B40073" w:rsidP="00D014F4">
      <w:pPr>
        <w:pStyle w:val="JuQuot"/>
      </w:pPr>
      <w:r w:rsidRPr="00B40073">
        <w:rPr>
          <w:rStyle w:val="sb8d990e2"/>
        </w:rPr>
        <w:t>Ayant invité le gouvernement de l</w:t>
      </w:r>
      <w:r w:rsidR="00C419B2">
        <w:rPr>
          <w:rStyle w:val="sb8d990e2"/>
        </w:rPr>
        <w:t>’</w:t>
      </w:r>
      <w:r w:rsidRPr="00B40073">
        <w:rPr>
          <w:rStyle w:val="sb8d990e2"/>
        </w:rPr>
        <w:t>Etat défendeur à l</w:t>
      </w:r>
      <w:r w:rsidR="00C419B2">
        <w:rPr>
          <w:rStyle w:val="sb8d990e2"/>
        </w:rPr>
        <w:t>’</w:t>
      </w:r>
      <w:r w:rsidRPr="00B40073">
        <w:rPr>
          <w:rStyle w:val="sb8d990e2"/>
        </w:rPr>
        <w:t>informer des mesures qu</w:t>
      </w:r>
      <w:r w:rsidR="00C419B2">
        <w:rPr>
          <w:rStyle w:val="sb8d990e2"/>
        </w:rPr>
        <w:t>’</w:t>
      </w:r>
      <w:r w:rsidRPr="00B40073">
        <w:rPr>
          <w:rStyle w:val="sb8d990e2"/>
        </w:rPr>
        <w:t>il a prises pour se conformer à l</w:t>
      </w:r>
      <w:r w:rsidR="00C419B2">
        <w:rPr>
          <w:rStyle w:val="sb8d990e2"/>
        </w:rPr>
        <w:t>’</w:t>
      </w:r>
      <w:r w:rsidRPr="00B40073">
        <w:rPr>
          <w:rStyle w:val="sb8d990e2"/>
        </w:rPr>
        <w:t>arrêt de la Cour en vertu de l</w:t>
      </w:r>
      <w:r w:rsidR="00C419B2">
        <w:rPr>
          <w:rStyle w:val="sb8d990e2"/>
        </w:rPr>
        <w:t>’</w:t>
      </w:r>
      <w:r w:rsidRPr="00B40073">
        <w:rPr>
          <w:rStyle w:val="sb8d990e2"/>
        </w:rPr>
        <w:t>obligation qui lui incombe au regard de l</w:t>
      </w:r>
      <w:r w:rsidR="00C419B2">
        <w:rPr>
          <w:rStyle w:val="sb8d990e2"/>
        </w:rPr>
        <w:t>’</w:t>
      </w:r>
      <w:r w:rsidRPr="00B40073">
        <w:rPr>
          <w:rStyle w:val="sb8d990e2"/>
        </w:rPr>
        <w:t>article 46, paragraphe 1, de la Convention ;</w:t>
      </w:r>
    </w:p>
    <w:p w:rsidR="00B40073" w:rsidRPr="00B40073" w:rsidRDefault="00B40073" w:rsidP="00D014F4">
      <w:pPr>
        <w:pStyle w:val="JuQuot"/>
      </w:pPr>
      <w:r w:rsidRPr="00B40073">
        <w:rPr>
          <w:rStyle w:val="sb8d990e2"/>
        </w:rPr>
        <w:t>Ayant examiné les informations transmises par le gouvernement conformément aux Règles du Comité pour l</w:t>
      </w:r>
      <w:r w:rsidR="00C419B2">
        <w:rPr>
          <w:rStyle w:val="sb8d990e2"/>
        </w:rPr>
        <w:t>’</w:t>
      </w:r>
      <w:r w:rsidRPr="00B40073">
        <w:rPr>
          <w:rStyle w:val="sb8d990e2"/>
        </w:rPr>
        <w:t>application de l</w:t>
      </w:r>
      <w:r w:rsidR="00C419B2">
        <w:rPr>
          <w:rStyle w:val="sb8d990e2"/>
        </w:rPr>
        <w:t>’</w:t>
      </w:r>
      <w:r w:rsidRPr="00B40073">
        <w:rPr>
          <w:rStyle w:val="sb8d990e2"/>
        </w:rPr>
        <w:t>article 46, paragraphe 2, de la Convention ;</w:t>
      </w:r>
    </w:p>
    <w:p w:rsidR="00B40073" w:rsidRPr="00B40073" w:rsidRDefault="00B40073" w:rsidP="00D014F4">
      <w:pPr>
        <w:pStyle w:val="JuQuot"/>
      </w:pPr>
      <w:r w:rsidRPr="00B40073">
        <w:rPr>
          <w:rStyle w:val="sb8d990e2"/>
        </w:rPr>
        <w:t>S</w:t>
      </w:r>
      <w:r w:rsidR="00C419B2">
        <w:rPr>
          <w:rStyle w:val="sb8d990e2"/>
        </w:rPr>
        <w:t>’</w:t>
      </w:r>
      <w:r w:rsidRPr="00B40073">
        <w:rPr>
          <w:rStyle w:val="sb8d990e2"/>
        </w:rPr>
        <w:t>étant assuré que, dans le délai imparti, l</w:t>
      </w:r>
      <w:r w:rsidR="00C419B2">
        <w:rPr>
          <w:rStyle w:val="sb8d990e2"/>
        </w:rPr>
        <w:t>’</w:t>
      </w:r>
      <w:r w:rsidRPr="00B40073">
        <w:rPr>
          <w:rStyle w:val="sb8d990e2"/>
        </w:rPr>
        <w:t>Etat défendeur a versé à la partie requérante, la satisfaction équitable prévue dans l</w:t>
      </w:r>
      <w:r w:rsidR="00C419B2">
        <w:rPr>
          <w:rStyle w:val="sb8d990e2"/>
        </w:rPr>
        <w:t>’</w:t>
      </w:r>
      <w:r w:rsidRPr="00B40073">
        <w:rPr>
          <w:rStyle w:val="sb8d990e2"/>
        </w:rPr>
        <w:t>arrêt (voir détails dans l</w:t>
      </w:r>
      <w:r w:rsidR="00C419B2">
        <w:rPr>
          <w:rStyle w:val="sb8d990e2"/>
        </w:rPr>
        <w:t>’</w:t>
      </w:r>
      <w:r w:rsidRPr="00B40073">
        <w:rPr>
          <w:rStyle w:val="sb8d990e2"/>
        </w:rPr>
        <w:t>Annexe),</w:t>
      </w:r>
    </w:p>
    <w:p w:rsidR="00B40073" w:rsidRPr="00696916" w:rsidRDefault="00B40073" w:rsidP="00D014F4">
      <w:pPr>
        <w:pStyle w:val="JuQuot"/>
      </w:pPr>
      <w:r w:rsidRPr="00B40073">
        <w:rPr>
          <w:rStyle w:val="sb8d990e2"/>
        </w:rPr>
        <w:t>Rappelant que les constats de violation par la Cour exigent, outre le paiement de la satisfaction équitable octroyée par la Cour dans ses arrêts, l</w:t>
      </w:r>
      <w:r w:rsidR="00C419B2">
        <w:rPr>
          <w:rStyle w:val="sb8d990e2"/>
        </w:rPr>
        <w:t>’</w:t>
      </w:r>
      <w:r w:rsidRPr="00B40073">
        <w:rPr>
          <w:rStyle w:val="sb8d990e2"/>
        </w:rPr>
        <w:t>adoption par l</w:t>
      </w:r>
      <w:r w:rsidR="00C419B2">
        <w:rPr>
          <w:rStyle w:val="sb8d990e2"/>
        </w:rPr>
        <w:t>’</w:t>
      </w:r>
      <w:r w:rsidRPr="00B40073">
        <w:rPr>
          <w:rStyle w:val="sb8d990e2"/>
        </w:rPr>
        <w:t>Etat défendeur, si nécessaire :</w:t>
      </w:r>
    </w:p>
    <w:p w:rsidR="00B40073" w:rsidRPr="00B40073" w:rsidRDefault="00E17BFF" w:rsidP="00D014F4">
      <w:pPr>
        <w:pStyle w:val="JuQuot"/>
      </w:pPr>
      <w:r>
        <w:rPr>
          <w:rStyle w:val="sb8d990e2"/>
        </w:rPr>
        <w:t>–  </w:t>
      </w:r>
      <w:r w:rsidR="00B40073" w:rsidRPr="00B40073">
        <w:rPr>
          <w:rStyle w:val="sb8d990e2"/>
        </w:rPr>
        <w:t xml:space="preserve">de mesures individuelles mettant fin aux violations et en effaçant les conséquences, si possible par </w:t>
      </w:r>
      <w:r w:rsidR="00B40073" w:rsidRPr="005A22EE">
        <w:rPr>
          <w:rStyle w:val="s6b621b36"/>
          <w:i/>
        </w:rPr>
        <w:t>restitutio in integrum</w:t>
      </w:r>
      <w:r w:rsidR="00B40073" w:rsidRPr="00B40073">
        <w:rPr>
          <w:rStyle w:val="s6b621b36"/>
        </w:rPr>
        <w:t> </w:t>
      </w:r>
      <w:r w:rsidR="00B40073" w:rsidRPr="00B40073">
        <w:rPr>
          <w:rStyle w:val="sb8d990e2"/>
        </w:rPr>
        <w:t>; et</w:t>
      </w:r>
    </w:p>
    <w:p w:rsidR="00B40073" w:rsidRPr="00B40073" w:rsidRDefault="00E17BFF" w:rsidP="00D014F4">
      <w:pPr>
        <w:pStyle w:val="JuQuot"/>
      </w:pPr>
      <w:r>
        <w:rPr>
          <w:rStyle w:val="sb8d990e2"/>
        </w:rPr>
        <w:t>–  </w:t>
      </w:r>
      <w:r w:rsidR="00B40073" w:rsidRPr="00B40073">
        <w:rPr>
          <w:rStyle w:val="sb8d990e2"/>
        </w:rPr>
        <w:t>de mesures générales, permettant de prév</w:t>
      </w:r>
      <w:r w:rsidR="00696916">
        <w:rPr>
          <w:rStyle w:val="sb8d990e2"/>
        </w:rPr>
        <w:t>enir des violations semblables ;</w:t>
      </w:r>
    </w:p>
    <w:p w:rsidR="00B40073" w:rsidRPr="00696916" w:rsidRDefault="00B40073" w:rsidP="00D014F4">
      <w:pPr>
        <w:pStyle w:val="JuQuot"/>
      </w:pPr>
      <w:r w:rsidRPr="00B40073">
        <w:rPr>
          <w:rStyle w:val="sb8d990e2"/>
        </w:rPr>
        <w:t>Rappelant que les décisions du Comité des Ministres en vertu de l</w:t>
      </w:r>
      <w:r w:rsidR="00C419B2">
        <w:rPr>
          <w:rStyle w:val="sb8d990e2"/>
        </w:rPr>
        <w:t>’</w:t>
      </w:r>
      <w:r w:rsidRPr="00B40073">
        <w:rPr>
          <w:rStyle w:val="sb8d990e2"/>
        </w:rPr>
        <w:t>article 46, paragraphe 2 de la Convention ne préjugent en rien l</w:t>
      </w:r>
      <w:r w:rsidR="00C419B2">
        <w:rPr>
          <w:rStyle w:val="sb8d990e2"/>
        </w:rPr>
        <w:t>’</w:t>
      </w:r>
      <w:r w:rsidRPr="00B40073">
        <w:rPr>
          <w:rStyle w:val="sb8d990e2"/>
        </w:rPr>
        <w:t>examen par la Cour d</w:t>
      </w:r>
      <w:r w:rsidR="00C419B2">
        <w:rPr>
          <w:rStyle w:val="sb8d990e2"/>
        </w:rPr>
        <w:t>’</w:t>
      </w:r>
      <w:r w:rsidRPr="00B40073">
        <w:rPr>
          <w:rStyle w:val="wordhighlighted"/>
        </w:rPr>
        <w:t>autres</w:t>
      </w:r>
      <w:r w:rsidRPr="00B40073">
        <w:rPr>
          <w:rStyle w:val="sb8d990e2"/>
        </w:rPr>
        <w:t xml:space="preserve"> affaires actuellement pendantes devant elle ;</w:t>
      </w:r>
    </w:p>
    <w:p w:rsidR="00B40073" w:rsidRPr="00696916" w:rsidRDefault="00B40073" w:rsidP="00D014F4">
      <w:pPr>
        <w:pStyle w:val="JuQuot"/>
      </w:pPr>
      <w:r w:rsidRPr="00B40073">
        <w:rPr>
          <w:rStyle w:val="sb8d990e2"/>
        </w:rPr>
        <w:t>D</w:t>
      </w:r>
      <w:r w:rsidR="00E17BFF">
        <w:rPr>
          <w:rStyle w:val="sb8d990e2"/>
        </w:rPr>
        <w:t>éclare</w:t>
      </w:r>
      <w:r w:rsidRPr="00B40073">
        <w:rPr>
          <w:rStyle w:val="sb8d990e2"/>
        </w:rPr>
        <w:t>, après avoir examiné les mesures prises par l</w:t>
      </w:r>
      <w:r w:rsidR="00C419B2">
        <w:rPr>
          <w:rStyle w:val="sb8d990e2"/>
        </w:rPr>
        <w:t>’</w:t>
      </w:r>
      <w:r w:rsidRPr="00B40073">
        <w:rPr>
          <w:rStyle w:val="sb8d990e2"/>
        </w:rPr>
        <w:t>Etat défendeur (voir Annexe), qu</w:t>
      </w:r>
      <w:r w:rsidR="00C419B2">
        <w:rPr>
          <w:rStyle w:val="sb8d990e2"/>
        </w:rPr>
        <w:t>’</w:t>
      </w:r>
      <w:r w:rsidRPr="00B40073">
        <w:rPr>
          <w:rStyle w:val="sb8d990e2"/>
        </w:rPr>
        <w:t>il a rempli ses fonctions en vertu de l</w:t>
      </w:r>
      <w:r w:rsidR="00C419B2">
        <w:rPr>
          <w:rStyle w:val="sb8d990e2"/>
        </w:rPr>
        <w:t>’</w:t>
      </w:r>
      <w:r w:rsidRPr="00B40073">
        <w:rPr>
          <w:rStyle w:val="sb8d990e2"/>
        </w:rPr>
        <w:t>article 46, paragraphe 2, de la Convention dans la présente affaire et</w:t>
      </w:r>
    </w:p>
    <w:p w:rsidR="00B40073" w:rsidRPr="00B40073" w:rsidRDefault="00B40073" w:rsidP="00D014F4">
      <w:pPr>
        <w:pStyle w:val="JuQuot"/>
      </w:pPr>
      <w:r w:rsidRPr="00B40073">
        <w:rPr>
          <w:rStyle w:val="sb8d990e2"/>
        </w:rPr>
        <w:t>D</w:t>
      </w:r>
      <w:r w:rsidR="00E17BFF">
        <w:rPr>
          <w:rStyle w:val="sb8d990e2"/>
        </w:rPr>
        <w:t>écide</w:t>
      </w:r>
      <w:r w:rsidRPr="00B40073">
        <w:rPr>
          <w:rStyle w:val="sb8d990e2"/>
        </w:rPr>
        <w:t xml:space="preserve"> d</w:t>
      </w:r>
      <w:r w:rsidR="00C419B2">
        <w:rPr>
          <w:rStyle w:val="sb8d990e2"/>
        </w:rPr>
        <w:t>’</w:t>
      </w:r>
      <w:r w:rsidRPr="00B40073">
        <w:rPr>
          <w:rStyle w:val="sb8d990e2"/>
        </w:rPr>
        <w:t>en clore l</w:t>
      </w:r>
      <w:r w:rsidR="00C419B2">
        <w:rPr>
          <w:rStyle w:val="sb8d990e2"/>
        </w:rPr>
        <w:t>’</w:t>
      </w:r>
      <w:r w:rsidRPr="00B40073">
        <w:rPr>
          <w:rStyle w:val="sb8d990e2"/>
        </w:rPr>
        <w:t>examen.</w:t>
      </w:r>
    </w:p>
    <w:p w:rsidR="00B40073" w:rsidRPr="00696916" w:rsidRDefault="00B40073" w:rsidP="00D014F4">
      <w:pPr>
        <w:pStyle w:val="JuQuot"/>
        <w:rPr>
          <w:b/>
        </w:rPr>
      </w:pPr>
      <w:r w:rsidRPr="00696916">
        <w:rPr>
          <w:rStyle w:val="s7d2086b4"/>
          <w:b/>
        </w:rPr>
        <w:t>Annexe à la Résolution CM/ResDH(2011)119</w:t>
      </w:r>
    </w:p>
    <w:p w:rsidR="00B40073" w:rsidRPr="00696916" w:rsidRDefault="00B40073" w:rsidP="00D014F4">
      <w:pPr>
        <w:pStyle w:val="JuQuot"/>
        <w:rPr>
          <w:b/>
        </w:rPr>
      </w:pPr>
      <w:r w:rsidRPr="00696916">
        <w:rPr>
          <w:rStyle w:val="s7d2086b4"/>
          <w:b/>
        </w:rPr>
        <w:t>Informations sur les mesures prises afin de se conformer à l</w:t>
      </w:r>
      <w:r w:rsidR="00C419B2">
        <w:rPr>
          <w:rStyle w:val="s7d2086b4"/>
          <w:b/>
        </w:rPr>
        <w:t>’</w:t>
      </w:r>
      <w:r w:rsidRPr="00696916">
        <w:rPr>
          <w:rStyle w:val="s7d2086b4"/>
          <w:b/>
        </w:rPr>
        <w:t>arrêt dans l</w:t>
      </w:r>
      <w:r w:rsidR="00C419B2">
        <w:rPr>
          <w:rStyle w:val="s7d2086b4"/>
          <w:b/>
        </w:rPr>
        <w:t>’</w:t>
      </w:r>
      <w:r w:rsidRPr="00696916">
        <w:rPr>
          <w:rStyle w:val="s7d2086b4"/>
          <w:b/>
        </w:rPr>
        <w:t xml:space="preserve">affaire </w:t>
      </w:r>
      <w:r w:rsidRPr="0044729E">
        <w:rPr>
          <w:rStyle w:val="wordhighlighted"/>
          <w:b/>
          <w:i/>
        </w:rPr>
        <w:t>Sampanis</w:t>
      </w:r>
      <w:r w:rsidRPr="0044729E">
        <w:rPr>
          <w:rStyle w:val="s7d2086b4"/>
          <w:b/>
          <w:i/>
        </w:rPr>
        <w:t xml:space="preserve"> et </w:t>
      </w:r>
      <w:r w:rsidRPr="0044729E">
        <w:rPr>
          <w:rStyle w:val="wordhighlighted"/>
          <w:b/>
          <w:i/>
        </w:rPr>
        <w:t>autres</w:t>
      </w:r>
      <w:r w:rsidRPr="0044729E">
        <w:rPr>
          <w:rStyle w:val="s7d2086b4"/>
          <w:b/>
          <w:i/>
        </w:rPr>
        <w:t xml:space="preserve"> c</w:t>
      </w:r>
      <w:r w:rsidR="0044729E">
        <w:rPr>
          <w:rStyle w:val="s7d2086b4"/>
          <w:b/>
          <w:i/>
        </w:rPr>
        <w:t>.</w:t>
      </w:r>
      <w:r w:rsidRPr="0044729E">
        <w:rPr>
          <w:rStyle w:val="s7d2086b4"/>
          <w:b/>
          <w:i/>
        </w:rPr>
        <w:t xml:space="preserve"> Grèce</w:t>
      </w:r>
    </w:p>
    <w:p w:rsidR="00B40073" w:rsidRPr="00696916" w:rsidRDefault="00B40073" w:rsidP="00D014F4">
      <w:pPr>
        <w:pStyle w:val="JuQuot"/>
        <w:rPr>
          <w:b/>
        </w:rPr>
      </w:pPr>
      <w:r w:rsidRPr="00696916">
        <w:rPr>
          <w:rStyle w:val="s7d2086b4"/>
          <w:b/>
        </w:rPr>
        <w:t>Résumé introductif de l</w:t>
      </w:r>
      <w:r w:rsidR="00C419B2">
        <w:rPr>
          <w:rStyle w:val="s7d2086b4"/>
          <w:b/>
        </w:rPr>
        <w:t>’</w:t>
      </w:r>
      <w:r w:rsidRPr="00696916">
        <w:rPr>
          <w:rStyle w:val="s7d2086b4"/>
          <w:b/>
        </w:rPr>
        <w:t>affaire</w:t>
      </w:r>
    </w:p>
    <w:p w:rsidR="00B40073" w:rsidRPr="00B40073" w:rsidRDefault="00696916" w:rsidP="00D014F4">
      <w:pPr>
        <w:pStyle w:val="JuQuot"/>
      </w:pPr>
      <w:r>
        <w:rPr>
          <w:rStyle w:val="sb8d990e2"/>
        </w:rPr>
        <w:t>L</w:t>
      </w:r>
      <w:r w:rsidR="00C419B2">
        <w:rPr>
          <w:rStyle w:val="sb8d990e2"/>
        </w:rPr>
        <w:t>’</w:t>
      </w:r>
      <w:r w:rsidR="00B40073" w:rsidRPr="00B40073">
        <w:rPr>
          <w:rStyle w:val="sb8d990e2"/>
        </w:rPr>
        <w:t>affaire concerne la non-scolarisation des enfants des requérants pour l</w:t>
      </w:r>
      <w:r w:rsidR="00C419B2">
        <w:rPr>
          <w:rStyle w:val="sb8d990e2"/>
        </w:rPr>
        <w:t>’</w:t>
      </w:r>
      <w:r w:rsidR="00B40073" w:rsidRPr="00B40073">
        <w:rPr>
          <w:rStyle w:val="sb8d990e2"/>
        </w:rPr>
        <w:t>année scolaire 2004-2005, puis leur scolarisation, en 2005, dans des classes préparatoires spéciales. En particulier, la Cour a conclu qu</w:t>
      </w:r>
      <w:r w:rsidR="00C419B2">
        <w:rPr>
          <w:rStyle w:val="sb8d990e2"/>
        </w:rPr>
        <w:t>’</w:t>
      </w:r>
      <w:r w:rsidR="00B40073" w:rsidRPr="00B40073">
        <w:rPr>
          <w:rStyle w:val="sb8d990e2"/>
        </w:rPr>
        <w:t>en dépit de la volonté des autorités de scolariser les enfants roms, les modalités d</w:t>
      </w:r>
      <w:r w:rsidR="00C419B2">
        <w:rPr>
          <w:rStyle w:val="sb8d990e2"/>
        </w:rPr>
        <w:t>’</w:t>
      </w:r>
      <w:r w:rsidR="00B40073" w:rsidRPr="00B40073">
        <w:rPr>
          <w:rStyle w:val="sb8d990e2"/>
        </w:rPr>
        <w:t>inscription de ces enfants à l</w:t>
      </w:r>
      <w:r w:rsidR="00C419B2">
        <w:rPr>
          <w:rStyle w:val="sb8d990e2"/>
        </w:rPr>
        <w:t>’</w:t>
      </w:r>
      <w:r w:rsidR="00B40073" w:rsidRPr="00B40073">
        <w:rPr>
          <w:rStyle w:val="sb8d990e2"/>
        </w:rPr>
        <w:t>école et leur affectation dans des classes préparatoires spéciales – dans une annexe au bâtiment principal de l</w:t>
      </w:r>
      <w:r w:rsidR="00C419B2">
        <w:rPr>
          <w:rStyle w:val="sb8d990e2"/>
        </w:rPr>
        <w:t>’</w:t>
      </w:r>
      <w:r w:rsidR="00B40073" w:rsidRPr="00B40073">
        <w:rPr>
          <w:rStyle w:val="sb8d990e2"/>
        </w:rPr>
        <w:t>école – ont en définitive eu pour résultat de les discriminer (violation de l</w:t>
      </w:r>
      <w:r w:rsidR="00C419B2">
        <w:rPr>
          <w:rStyle w:val="sb8d990e2"/>
        </w:rPr>
        <w:t>’</w:t>
      </w:r>
      <w:r w:rsidR="00B40073" w:rsidRPr="00B40073">
        <w:rPr>
          <w:rStyle w:val="sb8d990e2"/>
        </w:rPr>
        <w:t>article 14 combiné avec l</w:t>
      </w:r>
      <w:r w:rsidR="00C419B2">
        <w:rPr>
          <w:rStyle w:val="sb8d990e2"/>
        </w:rPr>
        <w:t>’</w:t>
      </w:r>
      <w:r w:rsidR="00B40073" w:rsidRPr="00B40073">
        <w:rPr>
          <w:rStyle w:val="sb8d990e2"/>
        </w:rPr>
        <w:t>article 2 du Protocole n</w:t>
      </w:r>
      <w:r w:rsidR="00B40073" w:rsidRPr="0044729E">
        <w:rPr>
          <w:rStyle w:val="sea881cdf"/>
          <w:vertAlign w:val="superscript"/>
        </w:rPr>
        <w:t>o</w:t>
      </w:r>
      <w:r w:rsidR="00B40073" w:rsidRPr="00B40073">
        <w:rPr>
          <w:rStyle w:val="sb8d990e2"/>
        </w:rPr>
        <w:t> 1). L</w:t>
      </w:r>
      <w:r w:rsidR="00C419B2">
        <w:rPr>
          <w:rStyle w:val="sb8d990e2"/>
        </w:rPr>
        <w:t>’</w:t>
      </w:r>
      <w:r w:rsidR="00B40073" w:rsidRPr="00B40073">
        <w:rPr>
          <w:rStyle w:val="sb8d990e2"/>
        </w:rPr>
        <w:t>affaire concerne également l</w:t>
      </w:r>
      <w:r w:rsidR="00C419B2">
        <w:rPr>
          <w:rStyle w:val="sb8d990e2"/>
        </w:rPr>
        <w:t>’</w:t>
      </w:r>
      <w:r w:rsidR="00B40073" w:rsidRPr="00B40073">
        <w:rPr>
          <w:rStyle w:val="sb8d990e2"/>
        </w:rPr>
        <w:t>absence de recours effectif pour obtenir un redressement à cet égard. En particulier, la Cour a noté que le gouvernement grec n</w:t>
      </w:r>
      <w:r w:rsidR="00C419B2">
        <w:rPr>
          <w:rStyle w:val="sb8d990e2"/>
        </w:rPr>
        <w:t>’</w:t>
      </w:r>
      <w:r w:rsidR="00B40073" w:rsidRPr="00B40073">
        <w:rPr>
          <w:rStyle w:val="sb8d990e2"/>
        </w:rPr>
        <w:t>avait produit aucun exemple jurisprudentiel propre à démontrer que l</w:t>
      </w:r>
      <w:r w:rsidR="00C419B2">
        <w:rPr>
          <w:rStyle w:val="sb8d990e2"/>
        </w:rPr>
        <w:t>’</w:t>
      </w:r>
      <w:r w:rsidR="00B40073" w:rsidRPr="00B40073">
        <w:rPr>
          <w:rStyle w:val="sb8d990e2"/>
        </w:rPr>
        <w:t>utilisation d</w:t>
      </w:r>
      <w:r w:rsidR="00C419B2">
        <w:rPr>
          <w:rStyle w:val="sb8d990e2"/>
        </w:rPr>
        <w:t>’</w:t>
      </w:r>
      <w:r w:rsidR="00B40073" w:rsidRPr="00B40073">
        <w:rPr>
          <w:rStyle w:val="sb8d990e2"/>
        </w:rPr>
        <w:t>un tel recours aurait pu entraîner l</w:t>
      </w:r>
      <w:r w:rsidR="00C419B2">
        <w:rPr>
          <w:rStyle w:val="sb8d990e2"/>
        </w:rPr>
        <w:t>’</w:t>
      </w:r>
      <w:r w:rsidR="00B40073" w:rsidRPr="00B40073">
        <w:rPr>
          <w:rStyle w:val="sb8d990e2"/>
        </w:rPr>
        <w:t>annulation de l</w:t>
      </w:r>
      <w:r w:rsidR="00C419B2">
        <w:rPr>
          <w:rStyle w:val="sb8d990e2"/>
        </w:rPr>
        <w:t>’</w:t>
      </w:r>
      <w:r w:rsidR="00B40073" w:rsidRPr="00B40073">
        <w:rPr>
          <w:rStyle w:val="sb8d990e2"/>
        </w:rPr>
        <w:t>omission alléguée de l</w:t>
      </w:r>
      <w:r w:rsidR="00C419B2">
        <w:rPr>
          <w:rStyle w:val="sb8d990e2"/>
        </w:rPr>
        <w:t>’</w:t>
      </w:r>
      <w:r w:rsidR="00B40073" w:rsidRPr="00B40073">
        <w:rPr>
          <w:rStyle w:val="sb8d990e2"/>
        </w:rPr>
        <w:t>administration de procéder à l</w:t>
      </w:r>
      <w:r w:rsidR="00C419B2">
        <w:rPr>
          <w:rStyle w:val="sb8d990e2"/>
        </w:rPr>
        <w:t>’</w:t>
      </w:r>
      <w:r w:rsidR="00B40073" w:rsidRPr="00B40073">
        <w:rPr>
          <w:rStyle w:val="sb8d990e2"/>
        </w:rPr>
        <w:t>inscription des enfants (violation de l</w:t>
      </w:r>
      <w:r w:rsidR="00C419B2">
        <w:rPr>
          <w:rStyle w:val="sb8d990e2"/>
        </w:rPr>
        <w:t>’</w:t>
      </w:r>
      <w:r w:rsidR="00B40073" w:rsidRPr="00B40073">
        <w:rPr>
          <w:rStyle w:val="sb8d990e2"/>
        </w:rPr>
        <w:t>article 13).</w:t>
      </w:r>
    </w:p>
    <w:p w:rsidR="00B40073" w:rsidRPr="00B40073" w:rsidRDefault="00B40073" w:rsidP="00D014F4">
      <w:pPr>
        <w:pStyle w:val="JuQuot"/>
      </w:pPr>
      <w:r w:rsidRPr="00B40073">
        <w:rPr>
          <w:rStyle w:val="sb8d990e2"/>
        </w:rPr>
        <w:t>S</w:t>
      </w:r>
      <w:r w:rsidR="00C419B2">
        <w:rPr>
          <w:rStyle w:val="sb8d990e2"/>
        </w:rPr>
        <w:t>’</w:t>
      </w:r>
      <w:r w:rsidRPr="00B40073">
        <w:rPr>
          <w:rStyle w:val="sb8d990e2"/>
        </w:rPr>
        <w:t>agissant de la non-scolarisation des enfants en 2004-2005, la Cour a noté que le droit grec reconnaît la particularité de la situation des Roms, en facilitant la procédure d</w:t>
      </w:r>
      <w:r w:rsidR="00C419B2">
        <w:rPr>
          <w:rStyle w:val="sb8d990e2"/>
        </w:rPr>
        <w:t>’</w:t>
      </w:r>
      <w:r w:rsidRPr="00B40073">
        <w:rPr>
          <w:rStyle w:val="sb8d990e2"/>
        </w:rPr>
        <w:t>inscription de leurs enfants à l</w:t>
      </w:r>
      <w:r w:rsidR="00C419B2">
        <w:rPr>
          <w:rStyle w:val="sb8d990e2"/>
        </w:rPr>
        <w:t>’</w:t>
      </w:r>
      <w:r w:rsidRPr="00B40073">
        <w:rPr>
          <w:rStyle w:val="sb8d990e2"/>
        </w:rPr>
        <w:t>école. Dans le cas d</w:t>
      </w:r>
      <w:r w:rsidR="00C419B2">
        <w:rPr>
          <w:rStyle w:val="sb8d990e2"/>
        </w:rPr>
        <w:t>’</w:t>
      </w:r>
      <w:r w:rsidRPr="00B40073">
        <w:rPr>
          <w:rStyle w:val="sb8d990e2"/>
        </w:rPr>
        <w:t>espèce, les autorités auraient dû reconnaître la particularité de la situation de la communauté rom et faciliter l</w:t>
      </w:r>
      <w:r w:rsidR="00C419B2">
        <w:rPr>
          <w:rStyle w:val="sb8d990e2"/>
        </w:rPr>
        <w:t>’</w:t>
      </w:r>
      <w:r w:rsidRPr="00B40073">
        <w:rPr>
          <w:rStyle w:val="sb8d990e2"/>
        </w:rPr>
        <w:t>inscription à l</w:t>
      </w:r>
      <w:r w:rsidR="00C419B2">
        <w:rPr>
          <w:rStyle w:val="sb8d990e2"/>
        </w:rPr>
        <w:t>’</w:t>
      </w:r>
      <w:r w:rsidRPr="00B40073">
        <w:rPr>
          <w:rStyle w:val="sb8d990e2"/>
        </w:rPr>
        <w:t>école primaire. Or, même si les autorités n</w:t>
      </w:r>
      <w:r w:rsidR="00C419B2">
        <w:rPr>
          <w:rStyle w:val="sb8d990e2"/>
        </w:rPr>
        <w:t>’</w:t>
      </w:r>
      <w:r w:rsidRPr="00B40073">
        <w:rPr>
          <w:rStyle w:val="sb8d990e2"/>
        </w:rPr>
        <w:t>ont pas explicitement refusé d</w:t>
      </w:r>
      <w:r w:rsidR="00C419B2">
        <w:rPr>
          <w:rStyle w:val="sb8d990e2"/>
        </w:rPr>
        <w:t>’</w:t>
      </w:r>
      <w:r w:rsidRPr="00B40073">
        <w:rPr>
          <w:rStyle w:val="sb8d990e2"/>
        </w:rPr>
        <w:t>inscrire les enfants, elles ont omis d</w:t>
      </w:r>
      <w:r w:rsidR="00C419B2">
        <w:rPr>
          <w:rStyle w:val="sb8d990e2"/>
        </w:rPr>
        <w:t>’</w:t>
      </w:r>
      <w:r w:rsidRPr="00B40073">
        <w:rPr>
          <w:rStyle w:val="sb8d990e2"/>
        </w:rPr>
        <w:t>y procéder, en dépit de la volonté explicite des parents de les scolariser, manifestée auprès des autorités scolaires compétentes.</w:t>
      </w:r>
    </w:p>
    <w:p w:rsidR="00B40073" w:rsidRPr="00B40073" w:rsidRDefault="00B40073" w:rsidP="00D014F4">
      <w:pPr>
        <w:pStyle w:val="JuQuot"/>
      </w:pPr>
      <w:r w:rsidRPr="00B40073">
        <w:rPr>
          <w:rStyle w:val="sb8d990e2"/>
        </w:rPr>
        <w:t>Quant aux classes préparatoires spéciales situées dans une annexe de la 10</w:t>
      </w:r>
      <w:r w:rsidRPr="0044729E">
        <w:rPr>
          <w:rStyle w:val="sb8d990e2"/>
          <w:vertAlign w:val="superscript"/>
        </w:rPr>
        <w:t>e</w:t>
      </w:r>
      <w:r w:rsidRPr="00B40073">
        <w:rPr>
          <w:rStyle w:val="sb8d990e2"/>
        </w:rPr>
        <w:t> école primaire d</w:t>
      </w:r>
      <w:r w:rsidR="00C419B2">
        <w:rPr>
          <w:rStyle w:val="sb8d990e2"/>
        </w:rPr>
        <w:t>’</w:t>
      </w:r>
      <w:r w:rsidRPr="00B40073">
        <w:rPr>
          <w:rStyle w:val="sb8d990e2"/>
        </w:rPr>
        <w:t>Aspropyrgos, dans lesquelles les enfants des requérants avaient été placés en 2005, la Cour a estimé que les autorités compétentes ne s</w:t>
      </w:r>
      <w:r w:rsidR="00C419B2">
        <w:rPr>
          <w:rStyle w:val="sb8d990e2"/>
        </w:rPr>
        <w:t>’</w:t>
      </w:r>
      <w:r w:rsidRPr="00B40073">
        <w:rPr>
          <w:rStyle w:val="sb8d990e2"/>
        </w:rPr>
        <w:t>étaient pas fondées sur un critère unique et clair pour le placement des enfants. Elle a noté en particulier que les autorités n</w:t>
      </w:r>
      <w:r w:rsidR="00C419B2">
        <w:rPr>
          <w:rStyle w:val="sb8d990e2"/>
        </w:rPr>
        <w:t>’</w:t>
      </w:r>
      <w:r w:rsidRPr="00B40073">
        <w:rPr>
          <w:rStyle w:val="sb8d990e2"/>
        </w:rPr>
        <w:t>avaient pas fait état de tests adéquats auxquels les enfants concernés auraient été soumis aux fins d</w:t>
      </w:r>
      <w:r w:rsidR="00C419B2">
        <w:rPr>
          <w:rStyle w:val="sb8d990e2"/>
        </w:rPr>
        <w:t>’</w:t>
      </w:r>
      <w:r w:rsidRPr="00B40073">
        <w:rPr>
          <w:rStyle w:val="sb8d990e2"/>
        </w:rPr>
        <w:t>évaluation de leurs aptitudes ou de leurs difficultés éventuelles d</w:t>
      </w:r>
      <w:r w:rsidR="00C419B2">
        <w:rPr>
          <w:rStyle w:val="sb8d990e2"/>
        </w:rPr>
        <w:t>’</w:t>
      </w:r>
      <w:r w:rsidRPr="00B40073">
        <w:rPr>
          <w:rStyle w:val="sb8d990e2"/>
        </w:rPr>
        <w:t>apprentissage. En outre, bien que l</w:t>
      </w:r>
      <w:r w:rsidR="00C419B2">
        <w:rPr>
          <w:rStyle w:val="sb8d990e2"/>
        </w:rPr>
        <w:t>’</w:t>
      </w:r>
      <w:r w:rsidRPr="00B40073">
        <w:rPr>
          <w:rStyle w:val="sb8d990e2"/>
        </w:rPr>
        <w:t>objectif affiché de ces classes fût que les élèves concernés se retrouvent à niveau pour intégrer en temps utile les classes ordinaires, aucun exemple d</w:t>
      </w:r>
      <w:r w:rsidR="00C419B2">
        <w:rPr>
          <w:rStyle w:val="sb8d990e2"/>
        </w:rPr>
        <w:t>’</w:t>
      </w:r>
      <w:r w:rsidRPr="00B40073">
        <w:rPr>
          <w:rStyle w:val="sb8d990e2"/>
        </w:rPr>
        <w:t>élève n</w:t>
      </w:r>
      <w:r w:rsidR="00C419B2">
        <w:rPr>
          <w:rStyle w:val="sb8d990e2"/>
        </w:rPr>
        <w:t>’</w:t>
      </w:r>
      <w:r w:rsidRPr="00B40073">
        <w:rPr>
          <w:rStyle w:val="sb8d990e2"/>
        </w:rPr>
        <w:t>a été cité (parmi les 50 élèves concernés) qui aurait intégré les classes ordinaires de l</w:t>
      </w:r>
      <w:r w:rsidR="00C419B2">
        <w:rPr>
          <w:rStyle w:val="sb8d990e2"/>
        </w:rPr>
        <w:t>’</w:t>
      </w:r>
      <w:r w:rsidRPr="00B40073">
        <w:rPr>
          <w:rStyle w:val="sb8d990e2"/>
        </w:rPr>
        <w:t>école primaire d</w:t>
      </w:r>
      <w:r w:rsidR="00C419B2">
        <w:rPr>
          <w:rStyle w:val="sb8d990e2"/>
        </w:rPr>
        <w:t>’</w:t>
      </w:r>
      <w:r w:rsidRPr="00B40073">
        <w:rPr>
          <w:rStyle w:val="sb8d990e2"/>
        </w:rPr>
        <w:t>Aspropyrgos. De surcroît, il n</w:t>
      </w:r>
      <w:r w:rsidR="00C419B2">
        <w:rPr>
          <w:rStyle w:val="sb8d990e2"/>
        </w:rPr>
        <w:t>’</w:t>
      </w:r>
      <w:r w:rsidRPr="00B40073">
        <w:rPr>
          <w:rStyle w:val="sb8d990e2"/>
        </w:rPr>
        <w:t>avait pas été établi qu</w:t>
      </w:r>
      <w:r w:rsidR="00C419B2">
        <w:rPr>
          <w:rStyle w:val="sb8d990e2"/>
        </w:rPr>
        <w:t>’</w:t>
      </w:r>
      <w:r w:rsidRPr="00B40073">
        <w:rPr>
          <w:rStyle w:val="sb8d990e2"/>
        </w:rPr>
        <w:t>il existait des tests d</w:t>
      </w:r>
      <w:r w:rsidR="00C419B2">
        <w:rPr>
          <w:rStyle w:val="sb8d990e2"/>
        </w:rPr>
        <w:t>’</w:t>
      </w:r>
      <w:r w:rsidRPr="00B40073">
        <w:rPr>
          <w:rStyle w:val="sb8d990e2"/>
        </w:rPr>
        <w:t>évaluation auxquels les élèves roms auraient dû être périodiquement soumis pour permettre aux autorités scolaires d</w:t>
      </w:r>
      <w:r w:rsidR="00C419B2">
        <w:rPr>
          <w:rStyle w:val="sb8d990e2"/>
        </w:rPr>
        <w:t>’</w:t>
      </w:r>
      <w:r w:rsidRPr="00B40073">
        <w:rPr>
          <w:rStyle w:val="sb8d990e2"/>
        </w:rPr>
        <w:t>apprécier leur aptitude à intégrer les classes ordinaires, sur la base de données objectives et non d</w:t>
      </w:r>
      <w:r w:rsidR="00C419B2">
        <w:rPr>
          <w:rStyle w:val="sb8d990e2"/>
        </w:rPr>
        <w:t>’</w:t>
      </w:r>
      <w:r w:rsidRPr="00B40073">
        <w:rPr>
          <w:rStyle w:val="sb8d990e2"/>
        </w:rPr>
        <w:t>évaluations approximatives.</w:t>
      </w:r>
    </w:p>
    <w:p w:rsidR="00B40073" w:rsidRPr="00696916" w:rsidRDefault="00696916" w:rsidP="00D014F4">
      <w:pPr>
        <w:pStyle w:val="JuQuot"/>
        <w:rPr>
          <w:b/>
        </w:rPr>
      </w:pPr>
      <w:r w:rsidRPr="00696916">
        <w:rPr>
          <w:rStyle w:val="s7d2086b4"/>
          <w:b/>
        </w:rPr>
        <w:t>I.  </w:t>
      </w:r>
      <w:r w:rsidR="00B40073" w:rsidRPr="00696916">
        <w:rPr>
          <w:rStyle w:val="s7d2086b4"/>
          <w:b/>
        </w:rPr>
        <w:t>Paiement de la satisfaction équitable et mesures individuelles</w:t>
      </w:r>
    </w:p>
    <w:p w:rsidR="00B40073" w:rsidRDefault="00696916" w:rsidP="00D014F4">
      <w:pPr>
        <w:pStyle w:val="JuQuot"/>
      </w:pPr>
      <w:r>
        <w:t>(</w:t>
      </w:r>
      <w:r w:rsidR="009202F2">
        <w:t>...</w:t>
      </w:r>
      <w:r>
        <w:t>)</w:t>
      </w:r>
    </w:p>
    <w:p w:rsidR="00B40073" w:rsidRPr="00696916" w:rsidRDefault="00B40073" w:rsidP="00CB71D8">
      <w:pPr>
        <w:pStyle w:val="JuQuot"/>
        <w:keepNext/>
        <w:keepLines/>
        <w:rPr>
          <w:b/>
        </w:rPr>
      </w:pPr>
      <w:r w:rsidRPr="00696916">
        <w:rPr>
          <w:rStyle w:val="s7d2086b4"/>
          <w:b/>
        </w:rPr>
        <w:t>b)</w:t>
      </w:r>
      <w:r w:rsidR="00E17BFF">
        <w:rPr>
          <w:rStyle w:val="s7d2086b4"/>
          <w:b/>
        </w:rPr>
        <w:t>  </w:t>
      </w:r>
      <w:r w:rsidRPr="00696916">
        <w:rPr>
          <w:rStyle w:val="s7d2086b4"/>
          <w:b/>
        </w:rPr>
        <w:t>Mesures individuelles</w:t>
      </w:r>
    </w:p>
    <w:p w:rsidR="00B40073" w:rsidRPr="00696916" w:rsidRDefault="00B40073" w:rsidP="00CB71D8">
      <w:pPr>
        <w:pStyle w:val="JuQuot"/>
        <w:keepNext/>
        <w:keepLines/>
      </w:pPr>
      <w:r w:rsidRPr="00B40073">
        <w:rPr>
          <w:rStyle w:val="sb8d990e2"/>
        </w:rPr>
        <w:t>Les classes préparatoires spéciales situées dans une annexe de la 10</w:t>
      </w:r>
      <w:r w:rsidRPr="0044729E">
        <w:rPr>
          <w:rStyle w:val="sb8d990e2"/>
          <w:vertAlign w:val="superscript"/>
        </w:rPr>
        <w:t>e</w:t>
      </w:r>
      <w:r w:rsidRPr="00B40073">
        <w:rPr>
          <w:rStyle w:val="sb8d990e2"/>
        </w:rPr>
        <w:t> école primaire d</w:t>
      </w:r>
      <w:r w:rsidR="00C419B2">
        <w:rPr>
          <w:rStyle w:val="sb8d990e2"/>
        </w:rPr>
        <w:t>’</w:t>
      </w:r>
      <w:r w:rsidRPr="00B40073">
        <w:rPr>
          <w:rStyle w:val="sb8d990e2"/>
        </w:rPr>
        <w:t>Aspropyrgos ont été supprimées.</w:t>
      </w:r>
    </w:p>
    <w:p w:rsidR="00B40073" w:rsidRPr="00B40073" w:rsidRDefault="00B40073" w:rsidP="00D014F4">
      <w:pPr>
        <w:pStyle w:val="JuQuot"/>
      </w:pPr>
      <w:r w:rsidRPr="00B40073">
        <w:rPr>
          <w:rStyle w:val="sb8d990e2"/>
        </w:rPr>
        <w:t>Les autorités grecques ont adopté des mesures pour faciliter l</w:t>
      </w:r>
      <w:r w:rsidR="00C419B2">
        <w:rPr>
          <w:rStyle w:val="sb8d990e2"/>
        </w:rPr>
        <w:t>’</w:t>
      </w:r>
      <w:r w:rsidRPr="00B40073">
        <w:rPr>
          <w:rStyle w:val="sb8d990e2"/>
        </w:rPr>
        <w:t>inscription des enfants des requérants dans une école ordinaire à la suite de l</w:t>
      </w:r>
      <w:r w:rsidR="00C419B2">
        <w:rPr>
          <w:rStyle w:val="sb8d990e2"/>
        </w:rPr>
        <w:t>’</w:t>
      </w:r>
      <w:r w:rsidRPr="00B40073">
        <w:rPr>
          <w:rStyle w:val="sb8d990e2"/>
        </w:rPr>
        <w:t>arrêt de la Cour. Une nouvelle école primaire ordinaire (la 12</w:t>
      </w:r>
      <w:r w:rsidRPr="0044729E">
        <w:rPr>
          <w:rStyle w:val="sb8d990e2"/>
          <w:vertAlign w:val="superscript"/>
        </w:rPr>
        <w:t>e</w:t>
      </w:r>
      <w:r w:rsidRPr="00B40073">
        <w:rPr>
          <w:rStyle w:val="sb8d990e2"/>
        </w:rPr>
        <w:t xml:space="preserve"> école primaire d</w:t>
      </w:r>
      <w:r w:rsidR="00C419B2">
        <w:rPr>
          <w:rStyle w:val="sb8d990e2"/>
        </w:rPr>
        <w:t>’</w:t>
      </w:r>
      <w:r w:rsidRPr="00B40073">
        <w:rPr>
          <w:rStyle w:val="sb8d990e2"/>
        </w:rPr>
        <w:t>Aspropyrgos) a été créée en vertu de la décision ministérielle n</w:t>
      </w:r>
      <w:r w:rsidRPr="0044729E">
        <w:rPr>
          <w:rStyle w:val="sea881cdf"/>
          <w:vertAlign w:val="superscript"/>
        </w:rPr>
        <w:t>o</w:t>
      </w:r>
      <w:r w:rsidRPr="00B40073">
        <w:rPr>
          <w:rStyle w:val="sb8d990e2"/>
        </w:rPr>
        <w:t>10781/D4/2008. L</w:t>
      </w:r>
      <w:r w:rsidR="00C419B2">
        <w:rPr>
          <w:rStyle w:val="sb8d990e2"/>
        </w:rPr>
        <w:t>’</w:t>
      </w:r>
      <w:r w:rsidRPr="00B40073">
        <w:rPr>
          <w:rStyle w:val="sb8d990e2"/>
        </w:rPr>
        <w:t xml:space="preserve">école qui est censée accueillir tant des enfants roms </w:t>
      </w:r>
      <w:r w:rsidR="00B667E4">
        <w:rPr>
          <w:rStyle w:val="sb8d990e2"/>
        </w:rPr>
        <w:t>que</w:t>
      </w:r>
      <w:r w:rsidRPr="00B40073">
        <w:rPr>
          <w:rStyle w:val="sb8d990e2"/>
        </w:rPr>
        <w:t xml:space="preserve"> des </w:t>
      </w:r>
      <w:r w:rsidR="00B667E4">
        <w:rPr>
          <w:rStyle w:val="sb8d990e2"/>
        </w:rPr>
        <w:t xml:space="preserve">enfants </w:t>
      </w:r>
      <w:r w:rsidRPr="00B40073">
        <w:rPr>
          <w:rStyle w:val="sb8d990e2"/>
        </w:rPr>
        <w:t>non roms, couvre le secteur dans lequel réside essentiellement la communauté rom d</w:t>
      </w:r>
      <w:r w:rsidR="00C419B2">
        <w:rPr>
          <w:rStyle w:val="sb8d990e2"/>
        </w:rPr>
        <w:t>’</w:t>
      </w:r>
      <w:r w:rsidRPr="00B40073">
        <w:rPr>
          <w:rStyle w:val="sb8d990e2"/>
        </w:rPr>
        <w:t>Aspropyrgos. Ces mesures étaient ainsi destinées à assurer la scolarisation des enfants des requérants dans une école ordinaire.</w:t>
      </w:r>
    </w:p>
    <w:p w:rsidR="00B40073" w:rsidRPr="00B40073" w:rsidRDefault="00B40073" w:rsidP="00D014F4">
      <w:pPr>
        <w:pStyle w:val="JuQuot"/>
      </w:pPr>
      <w:r w:rsidRPr="00B40073">
        <w:rPr>
          <w:rStyle w:val="sb8d990e2"/>
        </w:rPr>
        <w:t>A la suite de l</w:t>
      </w:r>
      <w:r w:rsidR="00C419B2">
        <w:rPr>
          <w:rStyle w:val="sb8d990e2"/>
        </w:rPr>
        <w:t>’</w:t>
      </w:r>
      <w:r w:rsidRPr="00B40073">
        <w:rPr>
          <w:rStyle w:val="sb8d990e2"/>
        </w:rPr>
        <w:t>arrêt de la Cour, presque tous les enfants des requérants ont été inscrits dans la 12</w:t>
      </w:r>
      <w:r w:rsidRPr="0044729E">
        <w:rPr>
          <w:rStyle w:val="sb8d990e2"/>
          <w:vertAlign w:val="superscript"/>
        </w:rPr>
        <w:t>e</w:t>
      </w:r>
      <w:r w:rsidRPr="00B40073">
        <w:rPr>
          <w:rStyle w:val="sb8d990e2"/>
        </w:rPr>
        <w:t xml:space="preserve"> école primaire d</w:t>
      </w:r>
      <w:r w:rsidR="00C419B2">
        <w:rPr>
          <w:rStyle w:val="sb8d990e2"/>
        </w:rPr>
        <w:t>’</w:t>
      </w:r>
      <w:r w:rsidRPr="00B40073">
        <w:rPr>
          <w:rStyle w:val="sb8d990e2"/>
        </w:rPr>
        <w:t>Aspropyrgos. Toutefois, ils ne se sont pas rendus régulièrement à l</w:t>
      </w:r>
      <w:r w:rsidR="00C419B2">
        <w:rPr>
          <w:rStyle w:val="sb8d990e2"/>
        </w:rPr>
        <w:t>’</w:t>
      </w:r>
      <w:r w:rsidRPr="00B40073">
        <w:rPr>
          <w:rStyle w:val="sb8d990e2"/>
        </w:rPr>
        <w:t>école. Trois enfants ont atteint l</w:t>
      </w:r>
      <w:r w:rsidR="00C419B2">
        <w:rPr>
          <w:rStyle w:val="sb8d990e2"/>
        </w:rPr>
        <w:t>’</w:t>
      </w:r>
      <w:r w:rsidRPr="00B40073">
        <w:rPr>
          <w:rStyle w:val="sb8d990e2"/>
        </w:rPr>
        <w:t>âge à partir duquel la scolarisation n</w:t>
      </w:r>
      <w:r w:rsidR="00C419B2">
        <w:rPr>
          <w:rStyle w:val="sb8d990e2"/>
        </w:rPr>
        <w:t>’</w:t>
      </w:r>
      <w:r w:rsidRPr="00B40073">
        <w:rPr>
          <w:rStyle w:val="sb8d990e2"/>
        </w:rPr>
        <w:t>est plus obligatoire. Par ailleurs, les parents n</w:t>
      </w:r>
      <w:r w:rsidR="00C419B2">
        <w:rPr>
          <w:rStyle w:val="sb8d990e2"/>
        </w:rPr>
        <w:t>’</w:t>
      </w:r>
      <w:r w:rsidRPr="00B40073">
        <w:rPr>
          <w:rStyle w:val="sb8d990e2"/>
        </w:rPr>
        <w:t xml:space="preserve">ont pas inscrit quatre </w:t>
      </w:r>
      <w:r w:rsidRPr="00B40073">
        <w:rPr>
          <w:rStyle w:val="wordhighlighted"/>
        </w:rPr>
        <w:t>autres</w:t>
      </w:r>
      <w:r w:rsidRPr="00B40073">
        <w:rPr>
          <w:rStyle w:val="sb8d990e2"/>
        </w:rPr>
        <w:t xml:space="preserve"> enfants à l</w:t>
      </w:r>
      <w:r w:rsidR="00C419B2">
        <w:rPr>
          <w:rStyle w:val="sb8d990e2"/>
        </w:rPr>
        <w:t>’</w:t>
      </w:r>
      <w:r w:rsidRPr="00B40073">
        <w:rPr>
          <w:rStyle w:val="sb8d990e2"/>
        </w:rPr>
        <w:t>école tandis qu</w:t>
      </w:r>
      <w:r w:rsidR="00C419B2">
        <w:rPr>
          <w:rStyle w:val="sb8d990e2"/>
        </w:rPr>
        <w:t>’</w:t>
      </w:r>
      <w:r w:rsidRPr="00B40073">
        <w:rPr>
          <w:rStyle w:val="sb8d990e2"/>
        </w:rPr>
        <w:t>un enfant avait déjà achevé sa scolarité dans une autre école primaire.</w:t>
      </w:r>
    </w:p>
    <w:p w:rsidR="00B40073" w:rsidRPr="00696916" w:rsidRDefault="00696916" w:rsidP="00D014F4">
      <w:pPr>
        <w:pStyle w:val="JuQuot"/>
        <w:rPr>
          <w:b/>
        </w:rPr>
      </w:pPr>
      <w:r w:rsidRPr="00696916">
        <w:rPr>
          <w:rStyle w:val="s7d2086b4"/>
          <w:b/>
        </w:rPr>
        <w:t>II.  </w:t>
      </w:r>
      <w:r w:rsidR="00B40073" w:rsidRPr="00696916">
        <w:rPr>
          <w:rStyle w:val="s7d2086b4"/>
          <w:b/>
        </w:rPr>
        <w:t>Mesures générales</w:t>
      </w:r>
    </w:p>
    <w:p w:rsidR="00B40073" w:rsidRPr="00696916" w:rsidRDefault="00B40073" w:rsidP="00D014F4">
      <w:pPr>
        <w:pStyle w:val="JuQuot"/>
      </w:pPr>
      <w:r w:rsidRPr="00696916">
        <w:rPr>
          <w:rStyle w:val="s7d2086b4"/>
          <w:b/>
        </w:rPr>
        <w:t>1)</w:t>
      </w:r>
      <w:r w:rsidR="00E17BFF">
        <w:rPr>
          <w:rStyle w:val="s7d2086b4"/>
          <w:b/>
        </w:rPr>
        <w:t>  </w:t>
      </w:r>
      <w:r w:rsidRPr="00696916">
        <w:rPr>
          <w:rStyle w:val="s7d2086b4"/>
          <w:b/>
        </w:rPr>
        <w:t>Concernant la violation de l</w:t>
      </w:r>
      <w:r w:rsidR="00C419B2">
        <w:rPr>
          <w:rStyle w:val="s7d2086b4"/>
          <w:b/>
        </w:rPr>
        <w:t>’</w:t>
      </w:r>
      <w:r w:rsidRPr="00696916">
        <w:rPr>
          <w:rStyle w:val="s7d2086b4"/>
          <w:b/>
        </w:rPr>
        <w:t>article 14 combiné avec l</w:t>
      </w:r>
      <w:r w:rsidR="00C419B2">
        <w:rPr>
          <w:rStyle w:val="s7d2086b4"/>
          <w:b/>
        </w:rPr>
        <w:t>’</w:t>
      </w:r>
      <w:r w:rsidRPr="00696916">
        <w:rPr>
          <w:rStyle w:val="s7d2086b4"/>
          <w:b/>
        </w:rPr>
        <w:t xml:space="preserve">article 2 du </w:t>
      </w:r>
      <w:r w:rsidR="00E17BFF" w:rsidRPr="00696916">
        <w:rPr>
          <w:rStyle w:val="s7d2086b4"/>
          <w:b/>
        </w:rPr>
        <w:t>Protocole</w:t>
      </w:r>
      <w:r w:rsidR="00E17BFF">
        <w:rPr>
          <w:rStyle w:val="s7d2086b4"/>
          <w:b/>
        </w:rPr>
        <w:t> </w:t>
      </w:r>
      <w:r w:rsidRPr="00696916">
        <w:rPr>
          <w:rStyle w:val="s7d2086b4"/>
          <w:b/>
        </w:rPr>
        <w:t>n</w:t>
      </w:r>
      <w:r w:rsidRPr="00D26009">
        <w:rPr>
          <w:rStyle w:val="s1da1f149"/>
          <w:b/>
          <w:vertAlign w:val="superscript"/>
        </w:rPr>
        <w:t>o</w:t>
      </w:r>
      <w:r w:rsidR="0044729E">
        <w:rPr>
          <w:rStyle w:val="s1da1f149"/>
          <w:b/>
          <w:vertAlign w:val="superscript"/>
        </w:rPr>
        <w:t xml:space="preserve"> </w:t>
      </w:r>
      <w:r w:rsidRPr="00696916">
        <w:rPr>
          <w:rStyle w:val="s7d2086b4"/>
          <w:b/>
        </w:rPr>
        <w:t>1</w:t>
      </w:r>
    </w:p>
    <w:p w:rsidR="00B40073" w:rsidRPr="00696916" w:rsidRDefault="00B40073" w:rsidP="00D014F4">
      <w:pPr>
        <w:pStyle w:val="JuQuot"/>
      </w:pPr>
      <w:r w:rsidRPr="00B40073">
        <w:rPr>
          <w:rStyle w:val="sb8d990e2"/>
        </w:rPr>
        <w:t>Les autorités grecques ont fourni de nombreuses informations dans le cadre de leur plan d</w:t>
      </w:r>
      <w:r w:rsidR="00C419B2">
        <w:rPr>
          <w:rStyle w:val="sb8d990e2"/>
        </w:rPr>
        <w:t>’</w:t>
      </w:r>
      <w:r w:rsidRPr="00B40073">
        <w:rPr>
          <w:rStyle w:val="sb8d990e2"/>
        </w:rPr>
        <w:t>action consolidé (DH</w:t>
      </w:r>
      <w:r w:rsidRPr="00B40073">
        <w:rPr>
          <w:rStyle w:val="sb8d990e2"/>
        </w:rPr>
        <w:noBreakHyphen/>
        <w:t xml:space="preserve">DD(2011)52) ainsi que des informations supplémentaires par la suite. Ces informations sont résumées </w:t>
      </w:r>
      <w:r w:rsidR="00CB71D8" w:rsidRPr="00B40073">
        <w:rPr>
          <w:rStyle w:val="sb8d990e2"/>
        </w:rPr>
        <w:t>ci-dessous</w:t>
      </w:r>
      <w:r w:rsidRPr="00B40073">
        <w:rPr>
          <w:rStyle w:val="sb8d990e2"/>
        </w:rPr>
        <w:t> :</w:t>
      </w:r>
    </w:p>
    <w:p w:rsidR="00B40073" w:rsidRPr="00696916" w:rsidRDefault="00B40073" w:rsidP="00D014F4">
      <w:pPr>
        <w:pStyle w:val="JuQuot"/>
        <w:rPr>
          <w:b/>
        </w:rPr>
      </w:pPr>
      <w:r w:rsidRPr="00696916">
        <w:rPr>
          <w:rStyle w:val="s7d2086b4"/>
          <w:b/>
        </w:rPr>
        <w:t>Mesures concernant l</w:t>
      </w:r>
      <w:r w:rsidR="00C419B2">
        <w:rPr>
          <w:rStyle w:val="s7d2086b4"/>
          <w:b/>
        </w:rPr>
        <w:t>’</w:t>
      </w:r>
      <w:r w:rsidRPr="00696916">
        <w:rPr>
          <w:rStyle w:val="s7d2086b4"/>
          <w:b/>
        </w:rPr>
        <w:t>inscription et la scolarisation des enfants roms</w:t>
      </w:r>
    </w:p>
    <w:p w:rsidR="00B40073" w:rsidRPr="00B40073" w:rsidRDefault="00B40073" w:rsidP="00D014F4">
      <w:pPr>
        <w:pStyle w:val="JuQuot"/>
      </w:pPr>
      <w:r w:rsidRPr="00B40073">
        <w:rPr>
          <w:rStyle w:val="s23c0e8e7"/>
        </w:rPr>
        <w:t>Des mesures spécifiques ont été adoptées pour faciliter l</w:t>
      </w:r>
      <w:r w:rsidR="00C419B2">
        <w:rPr>
          <w:rStyle w:val="s23c0e8e7"/>
        </w:rPr>
        <w:t>’</w:t>
      </w:r>
      <w:r w:rsidRPr="00B40073">
        <w:rPr>
          <w:rStyle w:val="s23c0e8e7"/>
        </w:rPr>
        <w:t>inscription des élèves roms à l</w:t>
      </w:r>
      <w:r w:rsidR="00C419B2">
        <w:rPr>
          <w:rStyle w:val="s23c0e8e7"/>
        </w:rPr>
        <w:t>’</w:t>
      </w:r>
      <w:r w:rsidRPr="00B40073">
        <w:rPr>
          <w:rStyle w:val="s23c0e8e7"/>
        </w:rPr>
        <w:t xml:space="preserve">école primaire. Contrairement aux </w:t>
      </w:r>
      <w:r w:rsidRPr="00B40073">
        <w:rPr>
          <w:rStyle w:val="wordhighlighted"/>
        </w:rPr>
        <w:t>autres</w:t>
      </w:r>
      <w:r w:rsidRPr="00B40073">
        <w:rPr>
          <w:rStyle w:val="s23c0e8e7"/>
        </w:rPr>
        <w:t xml:space="preserve"> élèves, les enfants roms sont inscrits en primaire selon une procédure simplifiée sur la base d</w:t>
      </w:r>
      <w:r w:rsidR="00C419B2">
        <w:rPr>
          <w:rStyle w:val="s23c0e8e7"/>
        </w:rPr>
        <w:t>’</w:t>
      </w:r>
      <w:r w:rsidRPr="00B40073">
        <w:rPr>
          <w:rStyle w:val="s23c0e8e7"/>
        </w:rPr>
        <w:t>une simple déclaration, sans qu</w:t>
      </w:r>
      <w:r w:rsidR="00C419B2">
        <w:rPr>
          <w:rStyle w:val="s23c0e8e7"/>
        </w:rPr>
        <w:t>’</w:t>
      </w:r>
      <w:r w:rsidRPr="00B40073">
        <w:rPr>
          <w:rStyle w:val="s23c0e8e7"/>
        </w:rPr>
        <w:t>il soit nécessaire de fournir des certificats. Les autorités ont publié plusieurs circulaires visant à donner des instructions aux administrations des écoles sur l</w:t>
      </w:r>
      <w:r w:rsidR="00C419B2">
        <w:rPr>
          <w:rStyle w:val="s23c0e8e7"/>
        </w:rPr>
        <w:t>’</w:t>
      </w:r>
      <w:r w:rsidRPr="00B40073">
        <w:rPr>
          <w:rStyle w:val="s23c0e8e7"/>
        </w:rPr>
        <w:t>inscription simplifiée des enfants roms et à contrôler que ces derniers suivent régulièrement les cours (n</w:t>
      </w:r>
      <w:r w:rsidRPr="0044729E">
        <w:rPr>
          <w:rStyle w:val="sc099204e"/>
          <w:vertAlign w:val="superscript"/>
        </w:rPr>
        <w:t>os</w:t>
      </w:r>
      <w:r w:rsidRPr="00B40073">
        <w:rPr>
          <w:rStyle w:val="s23c0e8e7"/>
        </w:rPr>
        <w:t> F.1.T.Y./1073/117052/G1/23-9-2009, F.3/960/102679/G1/20-8-2010, 114893/G2/14-9-2010).</w:t>
      </w:r>
    </w:p>
    <w:p w:rsidR="00B40073" w:rsidRPr="00B40073" w:rsidRDefault="00B40073" w:rsidP="00D014F4">
      <w:pPr>
        <w:pStyle w:val="JuQuot"/>
      </w:pPr>
      <w:r w:rsidRPr="00B40073">
        <w:rPr>
          <w:rStyle w:val="sb8d990e2"/>
        </w:rPr>
        <w:t>Les autorités grecques ont également adopté un certain nombre de mesures pour intégrer les enfants roms dans l</w:t>
      </w:r>
      <w:r w:rsidR="00C419B2">
        <w:rPr>
          <w:rStyle w:val="sb8d990e2"/>
        </w:rPr>
        <w:t>’</w:t>
      </w:r>
      <w:r w:rsidRPr="00B40073">
        <w:rPr>
          <w:rStyle w:val="sb8d990e2"/>
        </w:rPr>
        <w:t>éducation nationale et mettre fin à la discrimination dont ils font l</w:t>
      </w:r>
      <w:r w:rsidR="00C419B2">
        <w:rPr>
          <w:rStyle w:val="sb8d990e2"/>
        </w:rPr>
        <w:t>’</w:t>
      </w:r>
      <w:r w:rsidRPr="00B40073">
        <w:rPr>
          <w:rStyle w:val="sb8d990e2"/>
        </w:rPr>
        <w:t>objet dans ce domaine. Ces mesures incluent en particulier la mise en place d</w:t>
      </w:r>
      <w:r w:rsidR="00C419B2">
        <w:rPr>
          <w:rStyle w:val="sb8d990e2"/>
        </w:rPr>
        <w:t>’</w:t>
      </w:r>
      <w:r w:rsidRPr="00B40073">
        <w:rPr>
          <w:rStyle w:val="sb8d990e2"/>
        </w:rPr>
        <w:t>une nouvelle politique d</w:t>
      </w:r>
      <w:r w:rsidR="00C419B2">
        <w:rPr>
          <w:rStyle w:val="sb8d990e2"/>
        </w:rPr>
        <w:t>’</w:t>
      </w:r>
      <w:r w:rsidRPr="00B40073">
        <w:rPr>
          <w:rStyle w:val="sb8d990e2"/>
        </w:rPr>
        <w:t>éducation fondée sur le modèle français des « Zones d</w:t>
      </w:r>
      <w:r w:rsidR="00C419B2">
        <w:rPr>
          <w:rStyle w:val="sb8d990e2"/>
        </w:rPr>
        <w:t>’</w:t>
      </w:r>
      <w:r w:rsidRPr="00B40073">
        <w:rPr>
          <w:rStyle w:val="sb8d990e2"/>
        </w:rPr>
        <w:t>éducation prioritaire ». Ces zones –</w:t>
      </w:r>
      <w:r w:rsidR="0044729E">
        <w:rPr>
          <w:rStyle w:val="sb8d990e2"/>
        </w:rPr>
        <w:t xml:space="preserve"> </w:t>
      </w:r>
      <w:r w:rsidRPr="00B40073">
        <w:rPr>
          <w:rStyle w:val="sb8d990e2"/>
        </w:rPr>
        <w:t>y compris dans la région d</w:t>
      </w:r>
      <w:r w:rsidR="00C419B2">
        <w:rPr>
          <w:rStyle w:val="sb8d990e2"/>
        </w:rPr>
        <w:t>’</w:t>
      </w:r>
      <w:r w:rsidRPr="00B40073">
        <w:rPr>
          <w:rStyle w:val="sb8d990e2"/>
        </w:rPr>
        <w:t>Aspropyrgos</w:t>
      </w:r>
      <w:r w:rsidR="0044729E">
        <w:rPr>
          <w:rStyle w:val="sb8d990e2"/>
        </w:rPr>
        <w:t xml:space="preserve"> –</w:t>
      </w:r>
      <w:r w:rsidRPr="00B40073">
        <w:rPr>
          <w:rStyle w:val="sb8d990e2"/>
        </w:rPr>
        <w:t xml:space="preserve"> visent à renforcer l</w:t>
      </w:r>
      <w:r w:rsidR="00C419B2">
        <w:rPr>
          <w:rStyle w:val="sb8d990e2"/>
        </w:rPr>
        <w:t>’</w:t>
      </w:r>
      <w:r w:rsidRPr="00B40073">
        <w:rPr>
          <w:rStyle w:val="sb8d990e2"/>
        </w:rPr>
        <w:t>intégration des groupes sociaux les plus vulnérables (</w:t>
      </w:r>
      <w:r w:rsidR="0044729E">
        <w:rPr>
          <w:rStyle w:val="sb8d990e2"/>
        </w:rPr>
        <w:t>R</w:t>
      </w:r>
      <w:r w:rsidRPr="00B40073">
        <w:rPr>
          <w:rStyle w:val="sb8d990e2"/>
        </w:rPr>
        <w:t>oms, migrants, etc.) par le biais de plusieurs actions et au moyen de l</w:t>
      </w:r>
      <w:r w:rsidR="00C419B2">
        <w:rPr>
          <w:rStyle w:val="sb8d990e2"/>
        </w:rPr>
        <w:t>’</w:t>
      </w:r>
      <w:r w:rsidRPr="00B40073">
        <w:rPr>
          <w:rStyle w:val="sb8d990e2"/>
        </w:rPr>
        <w:t>éducation (décision ministérielle AF.821/3412P/157476/Z1/31-12/2010). Par ailleurs, la campagne de sensibilisation Dosta</w:t>
      </w:r>
      <w:r w:rsidR="005A22EE">
        <w:rPr>
          <w:rStyle w:val="sb8d990e2"/>
        </w:rPr>
        <w:t xml:space="preserve"> </w:t>
      </w:r>
      <w:r w:rsidRPr="00B40073">
        <w:rPr>
          <w:rStyle w:val="sb8d990e2"/>
        </w:rPr>
        <w:t>! promue par le Conseil de l</w:t>
      </w:r>
      <w:r w:rsidR="00C419B2">
        <w:rPr>
          <w:rStyle w:val="sb8d990e2"/>
        </w:rPr>
        <w:t>’</w:t>
      </w:r>
      <w:r w:rsidRPr="00B40073">
        <w:rPr>
          <w:rStyle w:val="sb8d990e2"/>
        </w:rPr>
        <w:t xml:space="preserve">Europe et visant à combattre les stéréotypes et les préjugés concernant les Roms a également été lancée en Grèce par le </w:t>
      </w:r>
      <w:r w:rsidR="0044729E">
        <w:rPr>
          <w:rStyle w:val="sb8d990e2"/>
        </w:rPr>
        <w:t>m</w:t>
      </w:r>
      <w:r w:rsidRPr="00B40073">
        <w:rPr>
          <w:rStyle w:val="sb8d990e2"/>
        </w:rPr>
        <w:t>inistère de l</w:t>
      </w:r>
      <w:r w:rsidR="00C419B2">
        <w:rPr>
          <w:rStyle w:val="sb8d990e2"/>
        </w:rPr>
        <w:t>’</w:t>
      </w:r>
      <w:r w:rsidRPr="00B40073">
        <w:rPr>
          <w:rStyle w:val="sb8d990e2"/>
        </w:rPr>
        <w:t>Education en février 2011. La campagne grecque se concentre sur l</w:t>
      </w:r>
      <w:r w:rsidR="00C419B2">
        <w:rPr>
          <w:rStyle w:val="sb8d990e2"/>
        </w:rPr>
        <w:t>’</w:t>
      </w:r>
      <w:r w:rsidR="00060D71">
        <w:rPr>
          <w:rStyle w:val="sb8d990e2"/>
        </w:rPr>
        <w:t>enseignement</w:t>
      </w:r>
      <w:r w:rsidRPr="00B40073">
        <w:rPr>
          <w:rStyle w:val="sb8d990e2"/>
        </w:rPr>
        <w:t xml:space="preserve"> primaire et secondaire.</w:t>
      </w:r>
    </w:p>
    <w:p w:rsidR="00B40073" w:rsidRPr="00B40073" w:rsidRDefault="00B40073" w:rsidP="00D014F4">
      <w:pPr>
        <w:pStyle w:val="JuQuot"/>
      </w:pPr>
      <w:r w:rsidRPr="00B40073">
        <w:rPr>
          <w:rStyle w:val="sb8d990e2"/>
        </w:rPr>
        <w:t>En outre, les autorités ont lancé, à partir de l</w:t>
      </w:r>
      <w:r w:rsidR="00C419B2">
        <w:rPr>
          <w:rStyle w:val="sb8d990e2"/>
        </w:rPr>
        <w:t>’</w:t>
      </w:r>
      <w:r w:rsidRPr="00B40073">
        <w:rPr>
          <w:rStyle w:val="sb8d990e2"/>
        </w:rPr>
        <w:t>année scolaire 2010-2011, un programme spécifique en faveur de l</w:t>
      </w:r>
      <w:r w:rsidR="00C419B2">
        <w:rPr>
          <w:rStyle w:val="sb8d990e2"/>
        </w:rPr>
        <w:t>’</w:t>
      </w:r>
      <w:r w:rsidRPr="00B40073">
        <w:rPr>
          <w:rStyle w:val="sb8d990e2"/>
        </w:rPr>
        <w:t>adhésion active des enfants roms à l</w:t>
      </w:r>
      <w:r w:rsidR="00C419B2">
        <w:rPr>
          <w:rStyle w:val="sb8d990e2"/>
        </w:rPr>
        <w:t>’</w:t>
      </w:r>
      <w:r w:rsidRPr="00B40073">
        <w:rPr>
          <w:rStyle w:val="sb8d990e2"/>
        </w:rPr>
        <w:t>éducation nationale, qui sera mis en œuvre par deux grandes universités grecques. Conformément audit programme, les autorités ont mis en place des médiateurs spéciaux parlant couramment le romani, afin qu</w:t>
      </w:r>
      <w:r w:rsidR="00C419B2">
        <w:rPr>
          <w:rStyle w:val="sb8d990e2"/>
        </w:rPr>
        <w:t>’</w:t>
      </w:r>
      <w:r w:rsidRPr="00B40073">
        <w:rPr>
          <w:rStyle w:val="sb8d990e2"/>
        </w:rPr>
        <w:t>ils aident les familles roms pour la scolarité de leurs enfants. Elles ont ainsi recruté 15 médiateurs dans la région de l</w:t>
      </w:r>
      <w:r w:rsidR="00C419B2">
        <w:rPr>
          <w:rStyle w:val="sb8d990e2"/>
        </w:rPr>
        <w:t>’</w:t>
      </w:r>
      <w:r w:rsidRPr="00B40073">
        <w:rPr>
          <w:rStyle w:val="sb8d990e2"/>
        </w:rPr>
        <w:t>Attique, dont un dans la région d</w:t>
      </w:r>
      <w:r w:rsidR="00C419B2">
        <w:rPr>
          <w:rStyle w:val="sb8d990e2"/>
        </w:rPr>
        <w:t>’</w:t>
      </w:r>
      <w:r w:rsidRPr="00B40073">
        <w:rPr>
          <w:rStyle w:val="sb8d990e2"/>
        </w:rPr>
        <w:t>Aspropyrgos. Le Conseil de l</w:t>
      </w:r>
      <w:r w:rsidR="00C419B2">
        <w:rPr>
          <w:rStyle w:val="sb8d990e2"/>
        </w:rPr>
        <w:t>’</w:t>
      </w:r>
      <w:r w:rsidRPr="00B40073">
        <w:rPr>
          <w:rStyle w:val="sb8d990e2"/>
        </w:rPr>
        <w:t>Europe est en train d</w:t>
      </w:r>
      <w:r w:rsidR="00C419B2">
        <w:rPr>
          <w:rStyle w:val="sb8d990e2"/>
        </w:rPr>
        <w:t>’</w:t>
      </w:r>
      <w:r w:rsidRPr="00B40073">
        <w:rPr>
          <w:rStyle w:val="sb8d990e2"/>
        </w:rPr>
        <w:t>organiser un certain nombre de formations à leur intention dans le cadre de son programme de formation européen pour les médiateurs roms (ROMED). Conformément au programme « Education pour les enfants roms », les autorités ont également mis en place des travailleurs sociaux chargés d</w:t>
      </w:r>
      <w:r w:rsidR="00C419B2">
        <w:rPr>
          <w:rStyle w:val="sb8d990e2"/>
        </w:rPr>
        <w:t>’</w:t>
      </w:r>
      <w:r w:rsidRPr="00B40073">
        <w:rPr>
          <w:rStyle w:val="sb8d990e2"/>
        </w:rPr>
        <w:t>apporter un soutien psychologique aux familles roms. L</w:t>
      </w:r>
      <w:r w:rsidR="00C419B2">
        <w:rPr>
          <w:rStyle w:val="sb8d990e2"/>
        </w:rPr>
        <w:t>’</w:t>
      </w:r>
      <w:r w:rsidRPr="00B40073">
        <w:rPr>
          <w:rStyle w:val="sb8d990e2"/>
        </w:rPr>
        <w:t>une des tâches des travailleurs sociaux est de se rendre dans les écoles comprenant des élèves roms et dans les campements roms afin d</w:t>
      </w:r>
      <w:r w:rsidR="00C419B2">
        <w:rPr>
          <w:rStyle w:val="sb8d990e2"/>
        </w:rPr>
        <w:t>’</w:t>
      </w:r>
      <w:r w:rsidRPr="00B40073">
        <w:rPr>
          <w:rStyle w:val="sb8d990e2"/>
        </w:rPr>
        <w:t>identifier les enfants roms qui devraient aller à l</w:t>
      </w:r>
      <w:r w:rsidR="00C419B2">
        <w:rPr>
          <w:rStyle w:val="sb8d990e2"/>
        </w:rPr>
        <w:t>’</w:t>
      </w:r>
      <w:r w:rsidRPr="00B40073">
        <w:rPr>
          <w:rStyle w:val="sb8d990e2"/>
        </w:rPr>
        <w:t>école et d</w:t>
      </w:r>
      <w:r w:rsidR="00C419B2">
        <w:rPr>
          <w:rStyle w:val="sb8d990e2"/>
        </w:rPr>
        <w:t>’</w:t>
      </w:r>
      <w:r w:rsidRPr="00B40073">
        <w:rPr>
          <w:rStyle w:val="sb8d990e2"/>
        </w:rPr>
        <w:t>inciter leurs parents à les y envoyer. Un soutien scolaire est proposé aux enfants roms ayant des difficultés d</w:t>
      </w:r>
      <w:r w:rsidR="00C419B2">
        <w:rPr>
          <w:rStyle w:val="sb8d990e2"/>
        </w:rPr>
        <w:t>’</w:t>
      </w:r>
      <w:r w:rsidRPr="00B40073">
        <w:rPr>
          <w:rStyle w:val="sb8d990e2"/>
        </w:rPr>
        <w:t>apprentissage, par le biais d</w:t>
      </w:r>
      <w:r w:rsidR="00C419B2">
        <w:rPr>
          <w:rStyle w:val="sb8d990e2"/>
        </w:rPr>
        <w:t>’</w:t>
      </w:r>
      <w:r w:rsidRPr="00B40073">
        <w:rPr>
          <w:rStyle w:val="sb8d990e2"/>
        </w:rPr>
        <w:t>activités extrascolaires de soutien (cours supplémentaires et activités scolaires renforcées), y compris dans la région d</w:t>
      </w:r>
      <w:r w:rsidR="00C419B2">
        <w:rPr>
          <w:rStyle w:val="sb8d990e2"/>
        </w:rPr>
        <w:t>’</w:t>
      </w:r>
      <w:r w:rsidRPr="00B40073">
        <w:rPr>
          <w:rStyle w:val="sb8d990e2"/>
        </w:rPr>
        <w:t>Aspropyrgos. Les autorités ont également dispensé des formations spéciales sur l</w:t>
      </w:r>
      <w:r w:rsidR="00C419B2">
        <w:rPr>
          <w:rStyle w:val="sb8d990e2"/>
        </w:rPr>
        <w:t>’</w:t>
      </w:r>
      <w:r w:rsidRPr="00B40073">
        <w:rPr>
          <w:rStyle w:val="sb8d990e2"/>
        </w:rPr>
        <w:t>éducation interculturelle aux enseignants. Au début de l</w:t>
      </w:r>
      <w:r w:rsidR="00C419B2">
        <w:rPr>
          <w:rStyle w:val="sb8d990e2"/>
        </w:rPr>
        <w:t>’</w:t>
      </w:r>
      <w:r w:rsidRPr="00B40073">
        <w:rPr>
          <w:rStyle w:val="sb8d990e2"/>
        </w:rPr>
        <w:t>année 2011, le ministère de l</w:t>
      </w:r>
      <w:r w:rsidR="00C419B2">
        <w:rPr>
          <w:rStyle w:val="sb8d990e2"/>
        </w:rPr>
        <w:t>’</w:t>
      </w:r>
      <w:r w:rsidRPr="00B40073">
        <w:rPr>
          <w:rStyle w:val="sb8d990e2"/>
        </w:rPr>
        <w:t>Education a créé un Comité consultatif pour le programme « Education pour les enfants roms » qui joue un rôle consultatif sur les questions pertinentes mais aussi un rôle de suivi et d</w:t>
      </w:r>
      <w:r w:rsidR="00C419B2">
        <w:rPr>
          <w:rStyle w:val="sb8d990e2"/>
        </w:rPr>
        <w:t>’</w:t>
      </w:r>
      <w:r w:rsidRPr="00B40073">
        <w:rPr>
          <w:rStyle w:val="sb8d990e2"/>
        </w:rPr>
        <w:t>évaluation de la mise en œuvre et de l</w:t>
      </w:r>
      <w:r w:rsidR="00C419B2">
        <w:rPr>
          <w:rStyle w:val="sb8d990e2"/>
        </w:rPr>
        <w:t>’</w:t>
      </w:r>
      <w:r w:rsidRPr="00B40073">
        <w:rPr>
          <w:rStyle w:val="sb8d990e2"/>
        </w:rPr>
        <w:t>avancement du programme « Education pour les enfants roms ». Ce comité comprend des représentants du Conseil de l</w:t>
      </w:r>
      <w:r w:rsidR="00C419B2">
        <w:rPr>
          <w:rStyle w:val="sb8d990e2"/>
        </w:rPr>
        <w:t>’</w:t>
      </w:r>
      <w:r w:rsidRPr="00B40073">
        <w:rPr>
          <w:rStyle w:val="sb8d990e2"/>
        </w:rPr>
        <w:t>Europe, de la Commission européenne, de l</w:t>
      </w:r>
      <w:r w:rsidR="00C419B2">
        <w:rPr>
          <w:rStyle w:val="sb8d990e2"/>
        </w:rPr>
        <w:t>’</w:t>
      </w:r>
      <w:r w:rsidRPr="00B40073">
        <w:rPr>
          <w:rStyle w:val="sb8d990e2"/>
        </w:rPr>
        <w:t>OSCE/BIDDH et d</w:t>
      </w:r>
      <w:r w:rsidR="00C419B2">
        <w:rPr>
          <w:rStyle w:val="sb8d990e2"/>
        </w:rPr>
        <w:t>’</w:t>
      </w:r>
      <w:r w:rsidRPr="00B40073">
        <w:rPr>
          <w:rStyle w:val="wordhighlighted"/>
        </w:rPr>
        <w:t>autres</w:t>
      </w:r>
      <w:r w:rsidRPr="00B40073">
        <w:rPr>
          <w:rStyle w:val="sb8d990e2"/>
        </w:rPr>
        <w:t xml:space="preserve"> acteurs majeurs.</w:t>
      </w:r>
    </w:p>
    <w:p w:rsidR="00B40073" w:rsidRPr="00696916" w:rsidRDefault="00B40073" w:rsidP="00D014F4">
      <w:pPr>
        <w:pStyle w:val="JuQuot"/>
      </w:pPr>
      <w:r w:rsidRPr="00B40073">
        <w:rPr>
          <w:rStyle w:val="sb8d990e2"/>
        </w:rPr>
        <w:t>Les autorités grecques ont également créé trois centres éducatifs pour l</w:t>
      </w:r>
      <w:r w:rsidR="00C419B2">
        <w:rPr>
          <w:rStyle w:val="sb8d990e2"/>
        </w:rPr>
        <w:t>’</w:t>
      </w:r>
      <w:r w:rsidRPr="00B40073">
        <w:rPr>
          <w:rStyle w:val="sb8d990e2"/>
        </w:rPr>
        <w:t>éducation des adultes – l</w:t>
      </w:r>
      <w:r w:rsidR="00C419B2">
        <w:rPr>
          <w:rStyle w:val="sb8d990e2"/>
        </w:rPr>
        <w:t>’</w:t>
      </w:r>
      <w:r w:rsidRPr="00B40073">
        <w:rPr>
          <w:rStyle w:val="sb8d990e2"/>
        </w:rPr>
        <w:t>Institut de formation continue pour adultes, le Centre de formation pour adultes et l</w:t>
      </w:r>
      <w:r w:rsidR="00C419B2">
        <w:rPr>
          <w:rStyle w:val="sb8d990e2"/>
        </w:rPr>
        <w:t>’</w:t>
      </w:r>
      <w:r w:rsidRPr="00B40073">
        <w:rPr>
          <w:rStyle w:val="sb8d990e2"/>
        </w:rPr>
        <w:t>Ecole des parents. Les personnes d</w:t>
      </w:r>
      <w:r w:rsidR="00C419B2">
        <w:rPr>
          <w:rStyle w:val="sb8d990e2"/>
        </w:rPr>
        <w:t>’</w:t>
      </w:r>
      <w:r w:rsidRPr="00B40073">
        <w:rPr>
          <w:rStyle w:val="sb8d990e2"/>
        </w:rPr>
        <w:t>origine rom peuvent y participer dès l</w:t>
      </w:r>
      <w:r w:rsidR="00C419B2">
        <w:rPr>
          <w:rStyle w:val="sb8d990e2"/>
        </w:rPr>
        <w:t>’</w:t>
      </w:r>
      <w:r w:rsidRPr="00B40073">
        <w:rPr>
          <w:rStyle w:val="sb8d990e2"/>
        </w:rPr>
        <w:t>âge de 15 ans.</w:t>
      </w:r>
    </w:p>
    <w:p w:rsidR="00B40073" w:rsidRPr="00B40073" w:rsidRDefault="00B40073" w:rsidP="00D014F4">
      <w:pPr>
        <w:pStyle w:val="JuQuot"/>
      </w:pPr>
      <w:r w:rsidRPr="00B40073">
        <w:rPr>
          <w:rStyle w:val="sb8d990e2"/>
        </w:rPr>
        <w:t>Enfin, les autorités grecques ont régulièrement fourni des informations sur les mesures prises visant à améliorer les installations et les conditions de travail de la 12</w:t>
      </w:r>
      <w:r w:rsidRPr="00B40073">
        <w:rPr>
          <w:rStyle w:val="sea881cdf"/>
        </w:rPr>
        <w:t>e</w:t>
      </w:r>
      <w:r w:rsidRPr="00B40073">
        <w:rPr>
          <w:rStyle w:val="sb8d990e2"/>
        </w:rPr>
        <w:t> école primaire d</w:t>
      </w:r>
      <w:r w:rsidR="00C419B2">
        <w:rPr>
          <w:rStyle w:val="sb8d990e2"/>
        </w:rPr>
        <w:t>’</w:t>
      </w:r>
      <w:r w:rsidRPr="00B40073">
        <w:rPr>
          <w:rStyle w:val="sb8d990e2"/>
        </w:rPr>
        <w:t>Aspropyrgos, tout en notant que les questions liées au fonctionnement de ladite école sont à présent examinées par la Cour européenne dans le cadre d</w:t>
      </w:r>
      <w:r w:rsidR="00C419B2">
        <w:rPr>
          <w:rStyle w:val="sb8d990e2"/>
        </w:rPr>
        <w:t>’</w:t>
      </w:r>
      <w:r w:rsidRPr="00B40073">
        <w:rPr>
          <w:rStyle w:val="sb8d990e2"/>
        </w:rPr>
        <w:t>une nouvelle requête (requête n</w:t>
      </w:r>
      <w:r w:rsidRPr="0044729E">
        <w:rPr>
          <w:rStyle w:val="sea881cdf"/>
          <w:vertAlign w:val="superscript"/>
        </w:rPr>
        <w:t>o</w:t>
      </w:r>
      <w:r w:rsidR="0044729E">
        <w:rPr>
          <w:rStyle w:val="sb8d990e2"/>
        </w:rPr>
        <w:t xml:space="preserve"> </w:t>
      </w:r>
      <w:r w:rsidRPr="00B40073">
        <w:rPr>
          <w:rStyle w:val="sb8d990e2"/>
        </w:rPr>
        <w:t>59608/09, communiquée aux autorités le 11/04/2011).</w:t>
      </w:r>
    </w:p>
    <w:p w:rsidR="00B40073" w:rsidRPr="00696916" w:rsidRDefault="00B40073" w:rsidP="00D014F4">
      <w:pPr>
        <w:pStyle w:val="JuQuot"/>
      </w:pPr>
      <w:r w:rsidRPr="00696916">
        <w:rPr>
          <w:rStyle w:val="s7d2086b4"/>
          <w:b/>
        </w:rPr>
        <w:t>2)</w:t>
      </w:r>
      <w:r w:rsidR="00D26009">
        <w:rPr>
          <w:rStyle w:val="s7d2086b4"/>
          <w:b/>
        </w:rPr>
        <w:t>  </w:t>
      </w:r>
      <w:r w:rsidRPr="00696916">
        <w:rPr>
          <w:rStyle w:val="s7d2086b4"/>
          <w:b/>
        </w:rPr>
        <w:t>Concernant la violation de l</w:t>
      </w:r>
      <w:r w:rsidR="00C419B2">
        <w:rPr>
          <w:rStyle w:val="s7d2086b4"/>
          <w:b/>
        </w:rPr>
        <w:t>’</w:t>
      </w:r>
      <w:r w:rsidRPr="00696916">
        <w:rPr>
          <w:rStyle w:val="s7d2086b4"/>
          <w:b/>
        </w:rPr>
        <w:t>article 13 relative à l</w:t>
      </w:r>
      <w:r w:rsidR="00C419B2">
        <w:rPr>
          <w:rStyle w:val="s7d2086b4"/>
          <w:b/>
        </w:rPr>
        <w:t>’</w:t>
      </w:r>
      <w:r w:rsidRPr="00696916">
        <w:rPr>
          <w:rStyle w:val="s7d2086b4"/>
          <w:b/>
        </w:rPr>
        <w:t>omission des autorités d</w:t>
      </w:r>
      <w:r w:rsidR="00C419B2">
        <w:rPr>
          <w:rStyle w:val="s7d2086b4"/>
          <w:b/>
        </w:rPr>
        <w:t>’</w:t>
      </w:r>
      <w:r w:rsidRPr="00696916">
        <w:rPr>
          <w:rStyle w:val="s7d2086b4"/>
          <w:b/>
        </w:rPr>
        <w:t>inscrire les enfants des requérants</w:t>
      </w:r>
    </w:p>
    <w:p w:rsidR="00B40073" w:rsidRPr="00696916" w:rsidRDefault="00B40073" w:rsidP="00D014F4">
      <w:pPr>
        <w:pStyle w:val="JuQuot"/>
      </w:pPr>
      <w:r w:rsidRPr="00B40073">
        <w:rPr>
          <w:rStyle w:val="sb8d990e2"/>
        </w:rPr>
        <w:t>Les autorités grecques ont indiqué que les actes ou omissions des autorités scolaires sont en fait des actes administratifs. Ces derniers peuvent être contestés dans le cadre d</w:t>
      </w:r>
      <w:r w:rsidR="00C419B2">
        <w:rPr>
          <w:rStyle w:val="sb8d990e2"/>
        </w:rPr>
        <w:t>’</w:t>
      </w:r>
      <w:r w:rsidRPr="00B40073">
        <w:rPr>
          <w:rStyle w:val="sb8d990e2"/>
        </w:rPr>
        <w:t>une procédure administrative (devant les cours administratives d</w:t>
      </w:r>
      <w:r w:rsidR="00C419B2">
        <w:rPr>
          <w:rStyle w:val="sb8d990e2"/>
        </w:rPr>
        <w:t>’</w:t>
      </w:r>
      <w:r w:rsidRPr="00B40073">
        <w:rPr>
          <w:rStyle w:val="sb8d990e2"/>
        </w:rPr>
        <w:t>appel en première instance et devant le Conseil d</w:t>
      </w:r>
      <w:r w:rsidR="00C419B2">
        <w:rPr>
          <w:rStyle w:val="sb8d990e2"/>
        </w:rPr>
        <w:t>’</w:t>
      </w:r>
      <w:r w:rsidRPr="00B40073">
        <w:rPr>
          <w:rStyle w:val="sb8d990e2"/>
        </w:rPr>
        <w:t>Etat en seconde instance). Dans la présente affaire, la Cour a conclu à une violation du fait de l</w:t>
      </w:r>
      <w:r w:rsidR="00C419B2">
        <w:rPr>
          <w:rStyle w:val="sb8d990e2"/>
        </w:rPr>
        <w:t>’</w:t>
      </w:r>
      <w:r w:rsidRPr="00B40073">
        <w:rPr>
          <w:rStyle w:val="sb8d990e2"/>
        </w:rPr>
        <w:t>absence de recours effectif, les autorités n</w:t>
      </w:r>
      <w:r w:rsidR="00C419B2">
        <w:rPr>
          <w:rStyle w:val="sb8d990e2"/>
        </w:rPr>
        <w:t>’</w:t>
      </w:r>
      <w:r w:rsidRPr="00B40073">
        <w:rPr>
          <w:rStyle w:val="sb8d990e2"/>
        </w:rPr>
        <w:t>ayant pu produire des exemples jurisprudentiels dans un contexte similaire. Ces dernières indiquent qu</w:t>
      </w:r>
      <w:r w:rsidR="00C419B2">
        <w:rPr>
          <w:rStyle w:val="sb8d990e2"/>
        </w:rPr>
        <w:t>’</w:t>
      </w:r>
      <w:r w:rsidRPr="00B40073">
        <w:rPr>
          <w:rStyle w:val="sb8d990e2"/>
        </w:rPr>
        <w:t>une telle jurisprudence ad hoc n</w:t>
      </w:r>
      <w:r w:rsidR="00C419B2">
        <w:rPr>
          <w:rStyle w:val="sb8d990e2"/>
        </w:rPr>
        <w:t>’</w:t>
      </w:r>
      <w:r w:rsidRPr="00B40073">
        <w:rPr>
          <w:rStyle w:val="sb8d990e2"/>
        </w:rPr>
        <w:t>existe pas encore. Toutefois, les tribunaux internes ont jugé dans une série de décisions rendues après l</w:t>
      </w:r>
      <w:r w:rsidR="00C419B2">
        <w:rPr>
          <w:rStyle w:val="sb8d990e2"/>
        </w:rPr>
        <w:t>’</w:t>
      </w:r>
      <w:r w:rsidRPr="00B40073">
        <w:rPr>
          <w:rStyle w:val="sb8d990e2"/>
        </w:rPr>
        <w:t>arrêt de la Cour, que la cour administrative d</w:t>
      </w:r>
      <w:r w:rsidR="00C419B2">
        <w:rPr>
          <w:rStyle w:val="sb8d990e2"/>
        </w:rPr>
        <w:t>’</w:t>
      </w:r>
      <w:r w:rsidRPr="00B40073">
        <w:rPr>
          <w:rStyle w:val="sb8d990e2"/>
        </w:rPr>
        <w:t>appel était compétente pour examiner les requêtes tendant à l</w:t>
      </w:r>
      <w:r w:rsidR="00C419B2">
        <w:rPr>
          <w:rStyle w:val="sb8d990e2"/>
        </w:rPr>
        <w:t>’</w:t>
      </w:r>
      <w:r w:rsidRPr="00B40073">
        <w:rPr>
          <w:rStyle w:val="sb8d990e2"/>
        </w:rPr>
        <w:t>annulation des actes administratifs pris en application de la législation sur l</w:t>
      </w:r>
      <w:r w:rsidR="00C419B2">
        <w:rPr>
          <w:rStyle w:val="sb8d990e2"/>
        </w:rPr>
        <w:t>’</w:t>
      </w:r>
      <w:r w:rsidRPr="00B40073">
        <w:rPr>
          <w:rStyle w:val="sb8d990e2"/>
        </w:rPr>
        <w:t>éducation (par exemple, décisions des autorités scolaires ordonnant le changement d</w:t>
      </w:r>
      <w:r w:rsidR="00C419B2">
        <w:rPr>
          <w:rStyle w:val="sb8d990e2"/>
        </w:rPr>
        <w:t>’</w:t>
      </w:r>
      <w:r w:rsidRPr="00B40073">
        <w:rPr>
          <w:rStyle w:val="sb8d990e2"/>
        </w:rPr>
        <w:t>environnement scolaire de certains élèves suite à leur conduite ; décision de non</w:t>
      </w:r>
      <w:r w:rsidR="00B667E4">
        <w:rPr>
          <w:rStyle w:val="sb8d990e2"/>
        </w:rPr>
        <w:t>-</w:t>
      </w:r>
      <w:r w:rsidRPr="00B40073">
        <w:rPr>
          <w:rStyle w:val="sb8d990e2"/>
        </w:rPr>
        <w:t>inscription suite à une interruption des études ; décision de ne pas accepter un élève à un degré précis du collège suite aux examens de qualification).</w:t>
      </w:r>
      <w:r w:rsidR="009202F2">
        <w:rPr>
          <w:rStyle w:val="sb8d990e2"/>
        </w:rPr>
        <w:t> »</w:t>
      </w:r>
    </w:p>
    <w:p w:rsidR="006E62E6" w:rsidRDefault="006E62E6" w:rsidP="006E62E6">
      <w:pPr>
        <w:pStyle w:val="JuHA"/>
      </w:pPr>
      <w:r>
        <w:t>B.  La Commission européenne contre le racisme et l</w:t>
      </w:r>
      <w:r w:rsidR="00C419B2">
        <w:t>’</w:t>
      </w:r>
      <w:r>
        <w:t>intolérance</w:t>
      </w:r>
    </w:p>
    <w:p w:rsidR="006E62E6" w:rsidRDefault="00970717" w:rsidP="006E62E6">
      <w:pPr>
        <w:pStyle w:val="JuPara"/>
      </w:pPr>
      <w:r>
        <w:fldChar w:fldCharType="begin"/>
      </w:r>
      <w:r>
        <w:instrText xml:space="preserve"> SEQ level0 \*arabic </w:instrText>
      </w:r>
      <w:r>
        <w:fldChar w:fldCharType="separate"/>
      </w:r>
      <w:r w:rsidR="00E555B3">
        <w:rPr>
          <w:noProof/>
        </w:rPr>
        <w:t>45</w:t>
      </w:r>
      <w:r>
        <w:fldChar w:fldCharType="end"/>
      </w:r>
      <w:r>
        <w:t>.  </w:t>
      </w:r>
      <w:r w:rsidR="006E62E6">
        <w:t>Le rapport de la Commission européenne contre le racisme et l</w:t>
      </w:r>
      <w:r w:rsidR="00C419B2">
        <w:t>’</w:t>
      </w:r>
      <w:r w:rsidR="006E62E6">
        <w:t>intolérance (ECRI) sur la Grèce, adopté le 2 avril 2009 et publié le 15 septembre 2009, précisait ce qui suit :</w:t>
      </w:r>
    </w:p>
    <w:p w:rsidR="006E62E6" w:rsidRPr="00B04D0D" w:rsidRDefault="006E62E6" w:rsidP="006E62E6">
      <w:pPr>
        <w:pStyle w:val="JuQuot"/>
        <w:rPr>
          <w:lang w:eastAsia="en-GB"/>
        </w:rPr>
      </w:pPr>
      <w:r>
        <w:rPr>
          <w:lang w:eastAsia="en-GB"/>
        </w:rPr>
        <w:t>« 52.</w:t>
      </w:r>
      <w:r w:rsidR="00D26009">
        <w:rPr>
          <w:lang w:eastAsia="en-GB"/>
        </w:rPr>
        <w:t>  </w:t>
      </w:r>
      <w:r w:rsidRPr="00B04D0D">
        <w:rPr>
          <w:lang w:eastAsia="en-GB"/>
        </w:rPr>
        <w:t>Dans son troisième rapport, l</w:t>
      </w:r>
      <w:r w:rsidR="00C419B2">
        <w:rPr>
          <w:lang w:eastAsia="en-GB"/>
        </w:rPr>
        <w:t>’</w:t>
      </w:r>
      <w:r w:rsidRPr="00B04D0D">
        <w:rPr>
          <w:lang w:eastAsia="en-GB"/>
        </w:rPr>
        <w:t>ECRI a vivement recommandé aux autorités grecques</w:t>
      </w:r>
      <w:r>
        <w:rPr>
          <w:lang w:eastAsia="en-GB"/>
        </w:rPr>
        <w:t xml:space="preserve"> </w:t>
      </w:r>
      <w:r w:rsidRPr="00B04D0D">
        <w:rPr>
          <w:lang w:eastAsia="en-GB"/>
        </w:rPr>
        <w:t>de promouvoir l</w:t>
      </w:r>
      <w:r w:rsidR="00C419B2">
        <w:rPr>
          <w:lang w:eastAsia="en-GB"/>
        </w:rPr>
        <w:t>’</w:t>
      </w:r>
      <w:r w:rsidRPr="00B04D0D">
        <w:rPr>
          <w:lang w:eastAsia="en-GB"/>
        </w:rPr>
        <w:t>égalité des chances en matière d</w:t>
      </w:r>
      <w:r w:rsidR="00C419B2">
        <w:rPr>
          <w:lang w:eastAsia="en-GB"/>
        </w:rPr>
        <w:t>’</w:t>
      </w:r>
      <w:r w:rsidRPr="00B04D0D">
        <w:rPr>
          <w:lang w:eastAsia="en-GB"/>
        </w:rPr>
        <w:t>accès à l</w:t>
      </w:r>
      <w:r w:rsidR="00C419B2">
        <w:rPr>
          <w:lang w:eastAsia="en-GB"/>
        </w:rPr>
        <w:t>’</w:t>
      </w:r>
      <w:r w:rsidRPr="00B04D0D">
        <w:rPr>
          <w:lang w:eastAsia="en-GB"/>
        </w:rPr>
        <w:t>éducation des enfants de</w:t>
      </w:r>
      <w:r>
        <w:rPr>
          <w:lang w:eastAsia="en-GB"/>
        </w:rPr>
        <w:t xml:space="preserve"> </w:t>
      </w:r>
      <w:r w:rsidRPr="00B04D0D">
        <w:rPr>
          <w:lang w:eastAsia="en-GB"/>
        </w:rPr>
        <w:t>groupes minoritaires en organisant notamment des cours de grec, des cours de</w:t>
      </w:r>
      <w:r>
        <w:rPr>
          <w:lang w:eastAsia="en-GB"/>
        </w:rPr>
        <w:t xml:space="preserve"> </w:t>
      </w:r>
      <w:r w:rsidRPr="00B04D0D">
        <w:rPr>
          <w:lang w:eastAsia="en-GB"/>
        </w:rPr>
        <w:t>rattrapage et en assurant l</w:t>
      </w:r>
      <w:r w:rsidR="00C419B2">
        <w:rPr>
          <w:lang w:eastAsia="en-GB"/>
        </w:rPr>
        <w:t>’</w:t>
      </w:r>
      <w:r w:rsidRPr="00B04D0D">
        <w:rPr>
          <w:lang w:eastAsia="en-GB"/>
        </w:rPr>
        <w:t>accès de ces enfants à un enseignement dispensé dans</w:t>
      </w:r>
      <w:r>
        <w:rPr>
          <w:lang w:eastAsia="en-GB"/>
        </w:rPr>
        <w:t xml:space="preserve"> </w:t>
      </w:r>
      <w:r w:rsidRPr="00B04D0D">
        <w:rPr>
          <w:lang w:eastAsia="en-GB"/>
        </w:rPr>
        <w:t>leur langue maternelle.</w:t>
      </w:r>
    </w:p>
    <w:p w:rsidR="006E62E6" w:rsidRDefault="006E62E6" w:rsidP="006E62E6">
      <w:pPr>
        <w:pStyle w:val="JuQuot"/>
        <w:rPr>
          <w:lang w:eastAsia="en-GB"/>
        </w:rPr>
      </w:pPr>
      <w:r w:rsidRPr="00B04D0D">
        <w:rPr>
          <w:lang w:eastAsia="en-GB"/>
        </w:rPr>
        <w:t>53.</w:t>
      </w:r>
      <w:r w:rsidR="00D26009">
        <w:rPr>
          <w:lang w:eastAsia="en-GB"/>
        </w:rPr>
        <w:t>  </w:t>
      </w:r>
      <w:r w:rsidRPr="00B04D0D">
        <w:rPr>
          <w:lang w:eastAsia="en-GB"/>
        </w:rPr>
        <w:t>L</w:t>
      </w:r>
      <w:r w:rsidR="00C419B2">
        <w:rPr>
          <w:lang w:eastAsia="en-GB"/>
        </w:rPr>
        <w:t>’</w:t>
      </w:r>
      <w:r w:rsidRPr="00B04D0D">
        <w:rPr>
          <w:lang w:eastAsia="en-GB"/>
        </w:rPr>
        <w:t>ECRI note avec préoccupation que les Roms</w:t>
      </w:r>
      <w:r>
        <w:rPr>
          <w:i/>
          <w:iCs/>
          <w:sz w:val="12"/>
          <w:szCs w:val="12"/>
          <w:lang w:eastAsia="en-GB"/>
        </w:rPr>
        <w:t xml:space="preserve"> </w:t>
      </w:r>
      <w:r w:rsidRPr="00B04D0D">
        <w:rPr>
          <w:lang w:eastAsia="en-GB"/>
        </w:rPr>
        <w:t>continuent d</w:t>
      </w:r>
      <w:r w:rsidR="00C419B2">
        <w:rPr>
          <w:lang w:eastAsia="en-GB"/>
        </w:rPr>
        <w:t>’</w:t>
      </w:r>
      <w:r w:rsidRPr="00B04D0D">
        <w:rPr>
          <w:lang w:eastAsia="en-GB"/>
        </w:rPr>
        <w:t>être défavorisés en</w:t>
      </w:r>
      <w:r>
        <w:rPr>
          <w:lang w:eastAsia="en-GB"/>
        </w:rPr>
        <w:t xml:space="preserve"> </w:t>
      </w:r>
      <w:r w:rsidRPr="00B04D0D">
        <w:rPr>
          <w:lang w:eastAsia="en-GB"/>
        </w:rPr>
        <w:t>matière d</w:t>
      </w:r>
      <w:r w:rsidR="00C419B2">
        <w:rPr>
          <w:lang w:eastAsia="en-GB"/>
        </w:rPr>
        <w:t>’</w:t>
      </w:r>
      <w:r w:rsidRPr="00B04D0D">
        <w:rPr>
          <w:lang w:eastAsia="en-GB"/>
        </w:rPr>
        <w:t>éducation. Certaines écoles refusent toujours d</w:t>
      </w:r>
      <w:r w:rsidR="00C419B2">
        <w:rPr>
          <w:lang w:eastAsia="en-GB"/>
        </w:rPr>
        <w:t>’</w:t>
      </w:r>
      <w:r w:rsidRPr="00B04D0D">
        <w:rPr>
          <w:lang w:eastAsia="en-GB"/>
        </w:rPr>
        <w:t>inscrire des enfants roms, ce</w:t>
      </w:r>
      <w:r>
        <w:rPr>
          <w:lang w:eastAsia="en-GB"/>
        </w:rPr>
        <w:t xml:space="preserve"> </w:t>
      </w:r>
      <w:r w:rsidRPr="00B04D0D">
        <w:rPr>
          <w:lang w:eastAsia="en-GB"/>
        </w:rPr>
        <w:t>qui peut parfois s</w:t>
      </w:r>
      <w:r w:rsidR="00C419B2">
        <w:rPr>
          <w:lang w:eastAsia="en-GB"/>
        </w:rPr>
        <w:t>’</w:t>
      </w:r>
      <w:r w:rsidRPr="00B04D0D">
        <w:rPr>
          <w:lang w:eastAsia="en-GB"/>
        </w:rPr>
        <w:t>expliquer par la pression exercée par les parents d</w:t>
      </w:r>
      <w:r w:rsidR="00C419B2">
        <w:rPr>
          <w:lang w:eastAsia="en-GB"/>
        </w:rPr>
        <w:t>’</w:t>
      </w:r>
      <w:r w:rsidRPr="00B04D0D">
        <w:rPr>
          <w:lang w:eastAsia="en-GB"/>
        </w:rPr>
        <w:t>élèves non roms.</w:t>
      </w:r>
      <w:r>
        <w:rPr>
          <w:lang w:eastAsia="en-GB"/>
        </w:rPr>
        <w:t xml:space="preserve"> </w:t>
      </w:r>
      <w:r w:rsidRPr="00B04D0D">
        <w:rPr>
          <w:lang w:eastAsia="en-GB"/>
        </w:rPr>
        <w:t>L</w:t>
      </w:r>
      <w:r w:rsidR="00C419B2">
        <w:rPr>
          <w:lang w:eastAsia="en-GB"/>
        </w:rPr>
        <w:t>’</w:t>
      </w:r>
      <w:r w:rsidRPr="00B04D0D">
        <w:rPr>
          <w:lang w:eastAsia="en-GB"/>
        </w:rPr>
        <w:t>ECRI est profondément préoccupée par le fait que dans certains cas, les enfants</w:t>
      </w:r>
      <w:r>
        <w:rPr>
          <w:lang w:eastAsia="en-GB"/>
        </w:rPr>
        <w:t xml:space="preserve"> </w:t>
      </w:r>
      <w:r w:rsidRPr="00B04D0D">
        <w:rPr>
          <w:lang w:eastAsia="en-GB"/>
        </w:rPr>
        <w:t>roms sont séparés des autres enfants, au sein de l</w:t>
      </w:r>
      <w:r w:rsidR="00C419B2">
        <w:rPr>
          <w:lang w:eastAsia="en-GB"/>
        </w:rPr>
        <w:t>’</w:t>
      </w:r>
      <w:r w:rsidRPr="00B04D0D">
        <w:rPr>
          <w:lang w:eastAsia="en-GB"/>
        </w:rPr>
        <w:t>établissement même ou à</w:t>
      </w:r>
      <w:r>
        <w:rPr>
          <w:lang w:eastAsia="en-GB"/>
        </w:rPr>
        <w:t xml:space="preserve"> proximité. Dans un cas,</w:t>
      </w:r>
      <w:r w:rsidRPr="00B04D0D">
        <w:rPr>
          <w:lang w:eastAsia="en-GB"/>
        </w:rPr>
        <w:t xml:space="preserve"> la Cour européenne des droits de l</w:t>
      </w:r>
      <w:r w:rsidR="00C419B2">
        <w:rPr>
          <w:lang w:eastAsia="en-GB"/>
        </w:rPr>
        <w:t>’</w:t>
      </w:r>
      <w:r w:rsidR="00D26009">
        <w:rPr>
          <w:lang w:eastAsia="en-GB"/>
        </w:rPr>
        <w:t>h</w:t>
      </w:r>
      <w:r w:rsidRPr="00B04D0D">
        <w:rPr>
          <w:lang w:eastAsia="en-GB"/>
        </w:rPr>
        <w:t>omme a estimé que la</w:t>
      </w:r>
      <w:r>
        <w:rPr>
          <w:lang w:eastAsia="en-GB"/>
        </w:rPr>
        <w:t xml:space="preserve"> </w:t>
      </w:r>
      <w:r w:rsidRPr="00B04D0D">
        <w:rPr>
          <w:lang w:eastAsia="en-GB"/>
        </w:rPr>
        <w:t>Grèce avait violé l</w:t>
      </w:r>
      <w:r w:rsidR="00C419B2">
        <w:rPr>
          <w:lang w:eastAsia="en-GB"/>
        </w:rPr>
        <w:t>’</w:t>
      </w:r>
      <w:r w:rsidRPr="00B04D0D">
        <w:rPr>
          <w:lang w:eastAsia="en-GB"/>
        </w:rPr>
        <w:t>article 14 de la Convention européenne des droits de l</w:t>
      </w:r>
      <w:r w:rsidR="00C419B2">
        <w:rPr>
          <w:lang w:eastAsia="en-GB"/>
        </w:rPr>
        <w:t>’</w:t>
      </w:r>
      <w:r w:rsidR="00D26009">
        <w:rPr>
          <w:lang w:eastAsia="en-GB"/>
        </w:rPr>
        <w:t>h</w:t>
      </w:r>
      <w:r w:rsidRPr="00B04D0D">
        <w:rPr>
          <w:lang w:eastAsia="en-GB"/>
        </w:rPr>
        <w:t>omme</w:t>
      </w:r>
      <w:r>
        <w:rPr>
          <w:lang w:eastAsia="en-GB"/>
        </w:rPr>
        <w:t xml:space="preserve"> </w:t>
      </w:r>
      <w:r w:rsidRPr="00B04D0D">
        <w:rPr>
          <w:lang w:eastAsia="en-GB"/>
        </w:rPr>
        <w:t>(interdiction de la discrimination dans la jouissance des droits énoncés dans la</w:t>
      </w:r>
      <w:r>
        <w:rPr>
          <w:lang w:eastAsia="en-GB"/>
        </w:rPr>
        <w:t xml:space="preserve"> </w:t>
      </w:r>
      <w:r w:rsidRPr="00B04D0D">
        <w:rPr>
          <w:lang w:eastAsia="en-GB"/>
        </w:rPr>
        <w:t>Convention) pris ensemble avec l</w:t>
      </w:r>
      <w:r w:rsidR="00C419B2">
        <w:rPr>
          <w:lang w:eastAsia="en-GB"/>
        </w:rPr>
        <w:t>’</w:t>
      </w:r>
      <w:r w:rsidRPr="00B04D0D">
        <w:rPr>
          <w:lang w:eastAsia="en-GB"/>
        </w:rPr>
        <w:t>article 2 du Protocole n</w:t>
      </w:r>
      <w:r w:rsidR="009202F2" w:rsidRPr="009202F2">
        <w:rPr>
          <w:vertAlign w:val="superscript"/>
          <w:lang w:eastAsia="en-GB"/>
        </w:rPr>
        <w:t>o</w:t>
      </w:r>
      <w:r w:rsidRPr="00B04D0D">
        <w:rPr>
          <w:lang w:eastAsia="en-GB"/>
        </w:rPr>
        <w:t xml:space="preserve"> 1 à la Convention</w:t>
      </w:r>
      <w:r>
        <w:rPr>
          <w:lang w:eastAsia="en-GB"/>
        </w:rPr>
        <w:t xml:space="preserve"> </w:t>
      </w:r>
      <w:r w:rsidRPr="00B04D0D">
        <w:rPr>
          <w:lang w:eastAsia="en-GB"/>
        </w:rPr>
        <w:t>européenne des droits de l</w:t>
      </w:r>
      <w:r w:rsidR="00C419B2">
        <w:rPr>
          <w:lang w:eastAsia="en-GB"/>
        </w:rPr>
        <w:t>’</w:t>
      </w:r>
      <w:r w:rsidR="00D26009">
        <w:rPr>
          <w:lang w:eastAsia="en-GB"/>
        </w:rPr>
        <w:t>h</w:t>
      </w:r>
      <w:r w:rsidRPr="00B04D0D">
        <w:rPr>
          <w:lang w:eastAsia="en-GB"/>
        </w:rPr>
        <w:t>omme (droit à l</w:t>
      </w:r>
      <w:r w:rsidR="00C419B2">
        <w:rPr>
          <w:lang w:eastAsia="en-GB"/>
        </w:rPr>
        <w:t>’</w:t>
      </w:r>
      <w:r w:rsidRPr="00B04D0D">
        <w:rPr>
          <w:lang w:eastAsia="en-GB"/>
        </w:rPr>
        <w:t>éducation). L</w:t>
      </w:r>
      <w:r w:rsidR="00C419B2">
        <w:rPr>
          <w:lang w:eastAsia="en-GB"/>
        </w:rPr>
        <w:t>’</w:t>
      </w:r>
      <w:r w:rsidRPr="00B04D0D">
        <w:rPr>
          <w:lang w:eastAsia="en-GB"/>
        </w:rPr>
        <w:t>ECRI a appris qu</w:t>
      </w:r>
      <w:r w:rsidR="00C419B2">
        <w:rPr>
          <w:lang w:eastAsia="en-GB"/>
        </w:rPr>
        <w:t>’</w:t>
      </w:r>
      <w:r w:rsidRPr="00B04D0D">
        <w:rPr>
          <w:lang w:eastAsia="en-GB"/>
        </w:rPr>
        <w:t>à Spata, où</w:t>
      </w:r>
      <w:r>
        <w:rPr>
          <w:lang w:eastAsia="en-GB"/>
        </w:rPr>
        <w:t xml:space="preserve"> </w:t>
      </w:r>
      <w:r w:rsidRPr="00B04D0D">
        <w:rPr>
          <w:lang w:eastAsia="en-GB"/>
        </w:rPr>
        <w:t>des enfants roms s</w:t>
      </w:r>
      <w:r w:rsidR="00C419B2">
        <w:rPr>
          <w:lang w:eastAsia="en-GB"/>
        </w:rPr>
        <w:t>’</w:t>
      </w:r>
      <w:r w:rsidRPr="00B04D0D">
        <w:rPr>
          <w:lang w:eastAsia="en-GB"/>
        </w:rPr>
        <w:t>étaient tout d</w:t>
      </w:r>
      <w:r w:rsidR="00C419B2">
        <w:rPr>
          <w:lang w:eastAsia="en-GB"/>
        </w:rPr>
        <w:t>’</w:t>
      </w:r>
      <w:r w:rsidRPr="00B04D0D">
        <w:rPr>
          <w:lang w:eastAsia="en-GB"/>
        </w:rPr>
        <w:t>abord vu refuser l</w:t>
      </w:r>
      <w:r w:rsidR="00C419B2">
        <w:rPr>
          <w:lang w:eastAsia="en-GB"/>
        </w:rPr>
        <w:t>’</w:t>
      </w:r>
      <w:r w:rsidRPr="00B04D0D">
        <w:rPr>
          <w:lang w:eastAsia="en-GB"/>
        </w:rPr>
        <w:t>inscription à l</w:t>
      </w:r>
      <w:r w:rsidR="00C419B2">
        <w:rPr>
          <w:lang w:eastAsia="en-GB"/>
        </w:rPr>
        <w:t>’</w:t>
      </w:r>
      <w:r w:rsidRPr="00B04D0D">
        <w:rPr>
          <w:lang w:eastAsia="en-GB"/>
        </w:rPr>
        <w:t>école, une classe</w:t>
      </w:r>
      <w:r>
        <w:rPr>
          <w:lang w:eastAsia="en-GB"/>
        </w:rPr>
        <w:t xml:space="preserve"> </w:t>
      </w:r>
      <w:r w:rsidRPr="00B04D0D">
        <w:rPr>
          <w:lang w:eastAsia="en-GB"/>
        </w:rPr>
        <w:t>séparée a été créée pour les accueillir afin de le</w:t>
      </w:r>
      <w:r w:rsidR="0044729E">
        <w:rPr>
          <w:lang w:eastAsia="en-GB"/>
        </w:rPr>
        <w:t>ur</w:t>
      </w:r>
      <w:r w:rsidRPr="00B04D0D">
        <w:rPr>
          <w:lang w:eastAsia="en-GB"/>
        </w:rPr>
        <w:t xml:space="preserve"> permettre de s</w:t>
      </w:r>
      <w:r w:rsidR="00C419B2">
        <w:rPr>
          <w:lang w:eastAsia="en-GB"/>
        </w:rPr>
        <w:t>’</w:t>
      </w:r>
      <w:r w:rsidRPr="00B04D0D">
        <w:rPr>
          <w:lang w:eastAsia="en-GB"/>
        </w:rPr>
        <w:t>adapter</w:t>
      </w:r>
      <w:r>
        <w:rPr>
          <w:lang w:eastAsia="en-GB"/>
        </w:rPr>
        <w:t xml:space="preserve"> </w:t>
      </w:r>
      <w:r w:rsidRPr="00B04D0D">
        <w:rPr>
          <w:lang w:eastAsia="en-GB"/>
        </w:rPr>
        <w:t>progressivement à l</w:t>
      </w:r>
      <w:r w:rsidR="00C419B2">
        <w:rPr>
          <w:lang w:eastAsia="en-GB"/>
        </w:rPr>
        <w:t>’</w:t>
      </w:r>
      <w:r w:rsidRPr="00B04D0D">
        <w:rPr>
          <w:lang w:eastAsia="en-GB"/>
        </w:rPr>
        <w:t>environnement scolaire. Tout en étant consciente de la nécessité</w:t>
      </w:r>
      <w:r>
        <w:rPr>
          <w:lang w:eastAsia="en-GB"/>
        </w:rPr>
        <w:t xml:space="preserve"> </w:t>
      </w:r>
      <w:r w:rsidRPr="00B04D0D">
        <w:rPr>
          <w:lang w:eastAsia="en-GB"/>
        </w:rPr>
        <w:t>d</w:t>
      </w:r>
      <w:r w:rsidR="00C419B2">
        <w:rPr>
          <w:lang w:eastAsia="en-GB"/>
        </w:rPr>
        <w:t>’</w:t>
      </w:r>
      <w:r w:rsidRPr="00B04D0D">
        <w:rPr>
          <w:lang w:eastAsia="en-GB"/>
        </w:rPr>
        <w:t>une intégration progressive dans le système scolaire, l</w:t>
      </w:r>
      <w:r w:rsidR="00C419B2">
        <w:rPr>
          <w:lang w:eastAsia="en-GB"/>
        </w:rPr>
        <w:t>’</w:t>
      </w:r>
      <w:r w:rsidRPr="00B04D0D">
        <w:rPr>
          <w:lang w:eastAsia="en-GB"/>
        </w:rPr>
        <w:t>ECRI voudrait attirer</w:t>
      </w:r>
      <w:r>
        <w:rPr>
          <w:lang w:eastAsia="en-GB"/>
        </w:rPr>
        <w:t xml:space="preserve"> </w:t>
      </w:r>
      <w:r w:rsidRPr="00B04D0D">
        <w:rPr>
          <w:lang w:eastAsia="en-GB"/>
        </w:rPr>
        <w:t>l</w:t>
      </w:r>
      <w:r w:rsidR="00C419B2">
        <w:rPr>
          <w:lang w:eastAsia="en-GB"/>
        </w:rPr>
        <w:t>’</w:t>
      </w:r>
      <w:r w:rsidRPr="00B04D0D">
        <w:rPr>
          <w:lang w:eastAsia="en-GB"/>
        </w:rPr>
        <w:t>attention des autorités grecques sur son point de vue sur cette question, tel</w:t>
      </w:r>
      <w:r>
        <w:rPr>
          <w:lang w:eastAsia="en-GB"/>
        </w:rPr>
        <w:t xml:space="preserve"> </w:t>
      </w:r>
      <w:r w:rsidRPr="00B04D0D">
        <w:rPr>
          <w:lang w:eastAsia="en-GB"/>
        </w:rPr>
        <w:t>qu</w:t>
      </w:r>
      <w:r w:rsidR="00C419B2">
        <w:rPr>
          <w:lang w:eastAsia="en-GB"/>
        </w:rPr>
        <w:t>’</w:t>
      </w:r>
      <w:r w:rsidRPr="00B04D0D">
        <w:rPr>
          <w:lang w:eastAsia="en-GB"/>
        </w:rPr>
        <w:t>énoncé dans sa Recommandation de politique générale n</w:t>
      </w:r>
      <w:r w:rsidR="009202F2" w:rsidRPr="009202F2">
        <w:rPr>
          <w:vertAlign w:val="superscript"/>
          <w:lang w:eastAsia="en-GB"/>
        </w:rPr>
        <w:t>o</w:t>
      </w:r>
      <w:r w:rsidRPr="00B04D0D">
        <w:rPr>
          <w:lang w:eastAsia="en-GB"/>
        </w:rPr>
        <w:t xml:space="preserve"> 10 sur le racisme et la</w:t>
      </w:r>
      <w:r>
        <w:rPr>
          <w:lang w:eastAsia="en-GB"/>
        </w:rPr>
        <w:t xml:space="preserve"> </w:t>
      </w:r>
      <w:r w:rsidRPr="00B04D0D">
        <w:rPr>
          <w:lang w:eastAsia="en-GB"/>
        </w:rPr>
        <w:t>discrimination raciale dans et à travers l</w:t>
      </w:r>
      <w:r w:rsidR="00C419B2">
        <w:rPr>
          <w:lang w:eastAsia="en-GB"/>
        </w:rPr>
        <w:t>’</w:t>
      </w:r>
      <w:r w:rsidRPr="00B04D0D">
        <w:rPr>
          <w:lang w:eastAsia="en-GB"/>
        </w:rPr>
        <w:t>éducation scolaire. Dans cette</w:t>
      </w:r>
      <w:r>
        <w:rPr>
          <w:lang w:eastAsia="en-GB"/>
        </w:rPr>
        <w:t xml:space="preserve"> </w:t>
      </w:r>
      <w:r w:rsidRPr="00B04D0D">
        <w:rPr>
          <w:lang w:eastAsia="en-GB"/>
        </w:rPr>
        <w:t>recommandation de politique générale, elle recommande la création, dans des cas</w:t>
      </w:r>
      <w:r>
        <w:rPr>
          <w:lang w:eastAsia="en-GB"/>
        </w:rPr>
        <w:t xml:space="preserve"> </w:t>
      </w:r>
      <w:r w:rsidRPr="00B04D0D">
        <w:rPr>
          <w:lang w:eastAsia="en-GB"/>
        </w:rPr>
        <w:t>particuliers et limités dans le temps, de classes préparatoires pour les élèves issus de</w:t>
      </w:r>
      <w:r>
        <w:rPr>
          <w:lang w:eastAsia="en-GB"/>
        </w:rPr>
        <w:t xml:space="preserve"> </w:t>
      </w:r>
      <w:r w:rsidRPr="00B04D0D">
        <w:rPr>
          <w:lang w:eastAsia="en-GB"/>
        </w:rPr>
        <w:t>groupes minoritaires, si un tel besoin est justifié par des critères objectifs et</w:t>
      </w:r>
      <w:r>
        <w:rPr>
          <w:lang w:eastAsia="en-GB"/>
        </w:rPr>
        <w:t xml:space="preserve"> </w:t>
      </w:r>
      <w:r w:rsidRPr="00B04D0D">
        <w:rPr>
          <w:lang w:eastAsia="en-GB"/>
        </w:rPr>
        <w:t>raisonnables et si l</w:t>
      </w:r>
      <w:r w:rsidR="00C419B2">
        <w:rPr>
          <w:lang w:eastAsia="en-GB"/>
        </w:rPr>
        <w:t>’</w:t>
      </w:r>
      <w:r w:rsidRPr="00B04D0D">
        <w:rPr>
          <w:lang w:eastAsia="en-GB"/>
        </w:rPr>
        <w:t>intérêt supérieur de l</w:t>
      </w:r>
      <w:r w:rsidR="00C419B2">
        <w:rPr>
          <w:lang w:eastAsia="en-GB"/>
        </w:rPr>
        <w:t>’</w:t>
      </w:r>
      <w:r>
        <w:rPr>
          <w:lang w:eastAsia="en-GB"/>
        </w:rPr>
        <w:t>enfant le commande.</w:t>
      </w:r>
    </w:p>
    <w:p w:rsidR="006E62E6" w:rsidRPr="00B04D0D" w:rsidRDefault="006E62E6" w:rsidP="006E62E6">
      <w:pPr>
        <w:pStyle w:val="JuQuot"/>
        <w:rPr>
          <w:lang w:eastAsia="en-GB"/>
        </w:rPr>
      </w:pPr>
      <w:r w:rsidRPr="00B04D0D">
        <w:rPr>
          <w:lang w:eastAsia="en-GB"/>
        </w:rPr>
        <w:t>54.</w:t>
      </w:r>
      <w:r w:rsidR="00D26009">
        <w:rPr>
          <w:lang w:eastAsia="en-GB"/>
        </w:rPr>
        <w:t>  </w:t>
      </w:r>
      <w:r w:rsidRPr="00B04D0D">
        <w:rPr>
          <w:lang w:eastAsia="en-GB"/>
        </w:rPr>
        <w:t>Comme les autorités grecques l</w:t>
      </w:r>
      <w:r w:rsidR="00C419B2">
        <w:rPr>
          <w:lang w:eastAsia="en-GB"/>
        </w:rPr>
        <w:t>’</w:t>
      </w:r>
      <w:r w:rsidRPr="00B04D0D">
        <w:rPr>
          <w:lang w:eastAsia="en-GB"/>
        </w:rPr>
        <w:t>ont elles-mêmes relevé et comme l</w:t>
      </w:r>
      <w:r w:rsidR="00C419B2">
        <w:rPr>
          <w:lang w:eastAsia="en-GB"/>
        </w:rPr>
        <w:t>’</w:t>
      </w:r>
      <w:r w:rsidRPr="00B04D0D">
        <w:rPr>
          <w:lang w:eastAsia="en-GB"/>
        </w:rPr>
        <w:t>Ombudsman l</w:t>
      </w:r>
      <w:r w:rsidR="00C419B2">
        <w:rPr>
          <w:lang w:eastAsia="en-GB"/>
        </w:rPr>
        <w:t>’</w:t>
      </w:r>
      <w:r w:rsidRPr="00B04D0D">
        <w:rPr>
          <w:lang w:eastAsia="en-GB"/>
        </w:rPr>
        <w:t>a</w:t>
      </w:r>
      <w:r>
        <w:rPr>
          <w:lang w:eastAsia="en-GB"/>
        </w:rPr>
        <w:t xml:space="preserve"> </w:t>
      </w:r>
      <w:r w:rsidRPr="00B04D0D">
        <w:rPr>
          <w:lang w:eastAsia="en-GB"/>
        </w:rPr>
        <w:t>confirmé, le taux d</w:t>
      </w:r>
      <w:r w:rsidR="00C419B2">
        <w:rPr>
          <w:lang w:eastAsia="en-GB"/>
        </w:rPr>
        <w:t>’</w:t>
      </w:r>
      <w:r w:rsidRPr="00B04D0D">
        <w:rPr>
          <w:lang w:eastAsia="en-GB"/>
        </w:rPr>
        <w:t>abandon scolaire parmi les élèves roms est très élevé. Les autorités</w:t>
      </w:r>
      <w:r>
        <w:rPr>
          <w:lang w:eastAsia="en-GB"/>
        </w:rPr>
        <w:t xml:space="preserve"> </w:t>
      </w:r>
      <w:r w:rsidRPr="00B04D0D">
        <w:rPr>
          <w:lang w:eastAsia="en-GB"/>
        </w:rPr>
        <w:t>ont signalé que des programmes spéciaux prévoyant un soutien psychologique et une</w:t>
      </w:r>
      <w:r>
        <w:rPr>
          <w:lang w:eastAsia="en-GB"/>
        </w:rPr>
        <w:t xml:space="preserve"> </w:t>
      </w:r>
      <w:r w:rsidRPr="00B04D0D">
        <w:rPr>
          <w:lang w:eastAsia="en-GB"/>
        </w:rPr>
        <w:t>aide sociale, y compris une éducation interculturelle</w:t>
      </w:r>
      <w:r w:rsidR="0044729E">
        <w:rPr>
          <w:lang w:eastAsia="en-GB"/>
        </w:rPr>
        <w:t>,</w:t>
      </w:r>
      <w:r w:rsidRPr="00B04D0D">
        <w:rPr>
          <w:lang w:eastAsia="en-GB"/>
        </w:rPr>
        <w:t xml:space="preserve"> avaient été mis sur pied pour</w:t>
      </w:r>
      <w:r>
        <w:rPr>
          <w:lang w:eastAsia="en-GB"/>
        </w:rPr>
        <w:t xml:space="preserve"> </w:t>
      </w:r>
      <w:r w:rsidRPr="00B04D0D">
        <w:rPr>
          <w:lang w:eastAsia="en-GB"/>
        </w:rPr>
        <w:t>traiter ce problème. Toutefois, en l</w:t>
      </w:r>
      <w:r w:rsidR="00C419B2">
        <w:rPr>
          <w:lang w:eastAsia="en-GB"/>
        </w:rPr>
        <w:t>’</w:t>
      </w:r>
      <w:r w:rsidRPr="00B04D0D">
        <w:rPr>
          <w:lang w:eastAsia="en-GB"/>
        </w:rPr>
        <w:t>absence de données ventilées sur la situation des</w:t>
      </w:r>
      <w:r>
        <w:rPr>
          <w:lang w:eastAsia="en-GB"/>
        </w:rPr>
        <w:t xml:space="preserve"> </w:t>
      </w:r>
      <w:r w:rsidRPr="00B04D0D">
        <w:rPr>
          <w:lang w:eastAsia="en-GB"/>
        </w:rPr>
        <w:t>élèves roms, il est difficile de procéder à une évaluation approfondie et de concevoir</w:t>
      </w:r>
      <w:r>
        <w:rPr>
          <w:lang w:eastAsia="en-GB"/>
        </w:rPr>
        <w:t xml:space="preserve"> </w:t>
      </w:r>
      <w:r w:rsidRPr="00B04D0D">
        <w:rPr>
          <w:lang w:eastAsia="en-GB"/>
        </w:rPr>
        <w:t xml:space="preserve">des programmes visant spécifiquement ce groupe. </w:t>
      </w:r>
      <w:r w:rsidR="00D26009">
        <w:rPr>
          <w:lang w:eastAsia="en-GB"/>
        </w:rPr>
        <w:t>A</w:t>
      </w:r>
      <w:r w:rsidRPr="00B04D0D">
        <w:rPr>
          <w:lang w:eastAsia="en-GB"/>
        </w:rPr>
        <w:t xml:space="preserve"> ce sujet, l</w:t>
      </w:r>
      <w:r w:rsidR="00C419B2">
        <w:rPr>
          <w:lang w:eastAsia="en-GB"/>
        </w:rPr>
        <w:t>’</w:t>
      </w:r>
      <w:r w:rsidRPr="00B04D0D">
        <w:rPr>
          <w:lang w:eastAsia="en-GB"/>
        </w:rPr>
        <w:t>ECRI voudrait attirer</w:t>
      </w:r>
      <w:r>
        <w:rPr>
          <w:lang w:eastAsia="en-GB"/>
        </w:rPr>
        <w:t xml:space="preserve"> </w:t>
      </w:r>
      <w:r w:rsidRPr="00B04D0D">
        <w:rPr>
          <w:lang w:eastAsia="en-GB"/>
        </w:rPr>
        <w:t>l</w:t>
      </w:r>
      <w:r w:rsidR="00C419B2">
        <w:rPr>
          <w:lang w:eastAsia="en-GB"/>
        </w:rPr>
        <w:t>’</w:t>
      </w:r>
      <w:r w:rsidRPr="00B04D0D">
        <w:rPr>
          <w:lang w:eastAsia="en-GB"/>
        </w:rPr>
        <w:t>attention des autorités grecques sur sa Recommandation de politique générale n</w:t>
      </w:r>
      <w:r w:rsidR="009202F2" w:rsidRPr="009202F2">
        <w:rPr>
          <w:vertAlign w:val="superscript"/>
          <w:lang w:eastAsia="en-GB"/>
        </w:rPr>
        <w:t>o</w:t>
      </w:r>
      <w:r w:rsidRPr="00B04D0D">
        <w:rPr>
          <w:lang w:eastAsia="en-GB"/>
        </w:rPr>
        <w:t xml:space="preserve"> 10</w:t>
      </w:r>
      <w:r>
        <w:rPr>
          <w:lang w:eastAsia="en-GB"/>
        </w:rPr>
        <w:t xml:space="preserve"> </w:t>
      </w:r>
      <w:r w:rsidRPr="00B04D0D">
        <w:rPr>
          <w:lang w:eastAsia="en-GB"/>
        </w:rPr>
        <w:t>sur la lutte contre le racisme et la discrimination raciale dans et à travers l</w:t>
      </w:r>
      <w:r w:rsidR="00C419B2">
        <w:rPr>
          <w:lang w:eastAsia="en-GB"/>
        </w:rPr>
        <w:t>’</w:t>
      </w:r>
      <w:r w:rsidRPr="00B04D0D">
        <w:rPr>
          <w:lang w:eastAsia="en-GB"/>
        </w:rPr>
        <w:t>éducation</w:t>
      </w:r>
      <w:r>
        <w:rPr>
          <w:lang w:eastAsia="en-GB"/>
        </w:rPr>
        <w:t xml:space="preserve"> </w:t>
      </w:r>
      <w:r w:rsidRPr="00B04D0D">
        <w:rPr>
          <w:lang w:eastAsia="en-GB"/>
        </w:rPr>
        <w:t>scolaire, dans laquelle elle recommande que soient effectuées, en collaboration avec</w:t>
      </w:r>
      <w:r>
        <w:rPr>
          <w:lang w:eastAsia="en-GB"/>
        </w:rPr>
        <w:t xml:space="preserve"> </w:t>
      </w:r>
      <w:r w:rsidRPr="00B04D0D">
        <w:rPr>
          <w:lang w:eastAsia="en-GB"/>
        </w:rPr>
        <w:t>la société civile, des études sur la situation des enfants issus de groupes minoritaires</w:t>
      </w:r>
      <w:r>
        <w:rPr>
          <w:lang w:eastAsia="en-GB"/>
        </w:rPr>
        <w:t xml:space="preserve"> </w:t>
      </w:r>
      <w:r w:rsidRPr="00B04D0D">
        <w:rPr>
          <w:lang w:eastAsia="en-GB"/>
        </w:rPr>
        <w:t>dans le système scolaire en recueillant des données statistiques sur</w:t>
      </w:r>
      <w:r w:rsidR="00D26009">
        <w:rPr>
          <w:lang w:eastAsia="en-GB"/>
        </w:rPr>
        <w:t> :</w:t>
      </w:r>
      <w:r w:rsidRPr="00B04D0D">
        <w:rPr>
          <w:lang w:eastAsia="en-GB"/>
        </w:rPr>
        <w:t xml:space="preserve"> 1)</w:t>
      </w:r>
      <w:r w:rsidR="00D26009">
        <w:rPr>
          <w:lang w:eastAsia="en-GB"/>
        </w:rPr>
        <w:t>  </w:t>
      </w:r>
      <w:r w:rsidRPr="00B04D0D">
        <w:rPr>
          <w:lang w:eastAsia="en-GB"/>
        </w:rPr>
        <w:t>leur taux de</w:t>
      </w:r>
      <w:r>
        <w:rPr>
          <w:lang w:eastAsia="en-GB"/>
        </w:rPr>
        <w:t xml:space="preserve"> </w:t>
      </w:r>
      <w:r w:rsidRPr="00B04D0D">
        <w:rPr>
          <w:lang w:eastAsia="en-GB"/>
        </w:rPr>
        <w:t>fréquentation et de réussite</w:t>
      </w:r>
      <w:r w:rsidR="00D26009">
        <w:rPr>
          <w:lang w:eastAsia="en-GB"/>
        </w:rPr>
        <w:t> ;</w:t>
      </w:r>
      <w:r w:rsidRPr="00B04D0D">
        <w:rPr>
          <w:lang w:eastAsia="en-GB"/>
        </w:rPr>
        <w:t xml:space="preserve"> 2)</w:t>
      </w:r>
      <w:r w:rsidR="00D26009">
        <w:rPr>
          <w:lang w:eastAsia="en-GB"/>
        </w:rPr>
        <w:t>  </w:t>
      </w:r>
      <w:r w:rsidRPr="00B04D0D">
        <w:rPr>
          <w:lang w:eastAsia="en-GB"/>
        </w:rPr>
        <w:t>leur taux d</w:t>
      </w:r>
      <w:r w:rsidR="00C419B2">
        <w:rPr>
          <w:lang w:eastAsia="en-GB"/>
        </w:rPr>
        <w:t>’</w:t>
      </w:r>
      <w:r w:rsidRPr="00B04D0D">
        <w:rPr>
          <w:lang w:eastAsia="en-GB"/>
        </w:rPr>
        <w:t>abandon</w:t>
      </w:r>
      <w:r w:rsidR="00D26009">
        <w:rPr>
          <w:lang w:eastAsia="en-GB"/>
        </w:rPr>
        <w:t> ;</w:t>
      </w:r>
      <w:r w:rsidRPr="00B04D0D">
        <w:rPr>
          <w:lang w:eastAsia="en-GB"/>
        </w:rPr>
        <w:t xml:space="preserve"> 3)</w:t>
      </w:r>
      <w:r w:rsidR="00D26009">
        <w:rPr>
          <w:lang w:eastAsia="en-GB"/>
        </w:rPr>
        <w:t>  </w:t>
      </w:r>
      <w:r w:rsidRPr="00B04D0D">
        <w:rPr>
          <w:lang w:eastAsia="en-GB"/>
        </w:rPr>
        <w:t>leurs résultats scolaires et 4)</w:t>
      </w:r>
      <w:r w:rsidR="00D26009">
        <w:rPr>
          <w:lang w:eastAsia="en-GB"/>
        </w:rPr>
        <w:t>  </w:t>
      </w:r>
      <w:r w:rsidRPr="00B04D0D">
        <w:rPr>
          <w:lang w:eastAsia="en-GB"/>
        </w:rPr>
        <w:t>leur</w:t>
      </w:r>
      <w:r w:rsidR="0044729E">
        <w:rPr>
          <w:lang w:eastAsia="en-GB"/>
        </w:rPr>
        <w:t>s</w:t>
      </w:r>
      <w:r w:rsidRPr="00B04D0D">
        <w:rPr>
          <w:lang w:eastAsia="en-GB"/>
        </w:rPr>
        <w:t xml:space="preserve"> progrès. Dans cette Recommandation de politique générale, l</w:t>
      </w:r>
      <w:r w:rsidR="00C419B2">
        <w:rPr>
          <w:lang w:eastAsia="en-GB"/>
        </w:rPr>
        <w:t>’</w:t>
      </w:r>
      <w:r w:rsidRPr="00B04D0D">
        <w:rPr>
          <w:lang w:eastAsia="en-GB"/>
        </w:rPr>
        <w:t>ECRI recommande</w:t>
      </w:r>
      <w:r>
        <w:rPr>
          <w:lang w:eastAsia="en-GB"/>
        </w:rPr>
        <w:t xml:space="preserve"> </w:t>
      </w:r>
      <w:r w:rsidRPr="00B04D0D">
        <w:rPr>
          <w:lang w:eastAsia="en-GB"/>
        </w:rPr>
        <w:t>aux Etats membres de collecter les informations nécessaires pour prendre la mesure</w:t>
      </w:r>
      <w:r>
        <w:rPr>
          <w:lang w:eastAsia="en-GB"/>
        </w:rPr>
        <w:t xml:space="preserve"> </w:t>
      </w:r>
      <w:r w:rsidRPr="00B04D0D">
        <w:rPr>
          <w:lang w:eastAsia="en-GB"/>
        </w:rPr>
        <w:t>des problèmes auxquels sont confrontés les élèves issus de groupes minoritaires dans</w:t>
      </w:r>
      <w:r>
        <w:rPr>
          <w:lang w:eastAsia="en-GB"/>
        </w:rPr>
        <w:t xml:space="preserve"> </w:t>
      </w:r>
      <w:r w:rsidRPr="00B04D0D">
        <w:rPr>
          <w:lang w:eastAsia="en-GB"/>
        </w:rPr>
        <w:t>le domaine de l</w:t>
      </w:r>
      <w:r w:rsidR="00C419B2">
        <w:rPr>
          <w:lang w:eastAsia="en-GB"/>
        </w:rPr>
        <w:t>’</w:t>
      </w:r>
      <w:r w:rsidRPr="00B04D0D">
        <w:rPr>
          <w:lang w:eastAsia="en-GB"/>
        </w:rPr>
        <w:t>éducation scolaire en vue de mettre en place des politiques pour</w:t>
      </w:r>
      <w:r>
        <w:rPr>
          <w:lang w:eastAsia="en-GB"/>
        </w:rPr>
        <w:t xml:space="preserve"> </w:t>
      </w:r>
      <w:r w:rsidRPr="00B04D0D">
        <w:rPr>
          <w:lang w:eastAsia="en-GB"/>
        </w:rPr>
        <w:t>résoudre ces problèmes.</w:t>
      </w:r>
    </w:p>
    <w:p w:rsidR="006E62E6" w:rsidRDefault="006E62E6" w:rsidP="006E62E6">
      <w:pPr>
        <w:pStyle w:val="JuQuot"/>
        <w:rPr>
          <w:lang w:eastAsia="en-GB"/>
        </w:rPr>
      </w:pPr>
      <w:r w:rsidRPr="00B04D0D">
        <w:rPr>
          <w:lang w:eastAsia="en-GB"/>
        </w:rPr>
        <w:t>55.</w:t>
      </w:r>
      <w:r w:rsidR="00D26009">
        <w:rPr>
          <w:lang w:eastAsia="en-GB"/>
        </w:rPr>
        <w:t>  </w:t>
      </w:r>
      <w:r w:rsidRPr="00B04D0D">
        <w:rPr>
          <w:lang w:eastAsia="en-GB"/>
        </w:rPr>
        <w:t>Les autorités ont fait savoir qu</w:t>
      </w:r>
      <w:r w:rsidR="00C419B2">
        <w:rPr>
          <w:lang w:eastAsia="en-GB"/>
        </w:rPr>
        <w:t>’</w:t>
      </w:r>
      <w:r w:rsidRPr="00B04D0D">
        <w:rPr>
          <w:lang w:eastAsia="en-GB"/>
        </w:rPr>
        <w:t>un programme, cofinancé par l</w:t>
      </w:r>
      <w:r w:rsidR="00C419B2">
        <w:rPr>
          <w:lang w:eastAsia="en-GB"/>
        </w:rPr>
        <w:t>’</w:t>
      </w:r>
      <w:r w:rsidRPr="00B04D0D">
        <w:rPr>
          <w:lang w:eastAsia="en-GB"/>
        </w:rPr>
        <w:t>Union européenne et</w:t>
      </w:r>
      <w:r>
        <w:rPr>
          <w:lang w:eastAsia="en-GB"/>
        </w:rPr>
        <w:t xml:space="preserve"> </w:t>
      </w:r>
      <w:r w:rsidRPr="00B04D0D">
        <w:rPr>
          <w:lang w:eastAsia="en-GB"/>
        </w:rPr>
        <w:t>l</w:t>
      </w:r>
      <w:r w:rsidR="00C419B2">
        <w:rPr>
          <w:lang w:eastAsia="en-GB"/>
        </w:rPr>
        <w:t>’</w:t>
      </w:r>
      <w:r w:rsidRPr="00B04D0D">
        <w:rPr>
          <w:lang w:eastAsia="en-GB"/>
        </w:rPr>
        <w:t xml:space="preserve">Etat grec, traite des questions telles </w:t>
      </w:r>
      <w:r w:rsidR="0044729E">
        <w:rPr>
          <w:lang w:eastAsia="en-GB"/>
        </w:rPr>
        <w:t xml:space="preserve">que </w:t>
      </w:r>
      <w:r w:rsidRPr="00B04D0D">
        <w:rPr>
          <w:lang w:eastAsia="en-GB"/>
        </w:rPr>
        <w:t>des cours de rattrapage de grec, de</w:t>
      </w:r>
      <w:r>
        <w:rPr>
          <w:lang w:eastAsia="en-GB"/>
        </w:rPr>
        <w:t xml:space="preserve"> </w:t>
      </w:r>
      <w:r w:rsidRPr="00B04D0D">
        <w:rPr>
          <w:lang w:eastAsia="en-GB"/>
        </w:rPr>
        <w:t>mathématiques et d</w:t>
      </w:r>
      <w:r w:rsidR="00C419B2">
        <w:rPr>
          <w:lang w:eastAsia="en-GB"/>
        </w:rPr>
        <w:t>’</w:t>
      </w:r>
      <w:r w:rsidRPr="00B04D0D">
        <w:rPr>
          <w:lang w:eastAsia="en-GB"/>
        </w:rPr>
        <w:t>histoire pour les enfants roms et prévoit en outre la formation</w:t>
      </w:r>
      <w:r>
        <w:rPr>
          <w:lang w:eastAsia="en-GB"/>
        </w:rPr>
        <w:t xml:space="preserve"> </w:t>
      </w:r>
      <w:r w:rsidRPr="00B04D0D">
        <w:rPr>
          <w:lang w:eastAsia="en-GB"/>
        </w:rPr>
        <w:t>continue des enseignants. L</w:t>
      </w:r>
      <w:r w:rsidR="00C419B2">
        <w:rPr>
          <w:lang w:eastAsia="en-GB"/>
        </w:rPr>
        <w:t>’</w:t>
      </w:r>
      <w:r w:rsidRPr="00B04D0D">
        <w:rPr>
          <w:lang w:eastAsia="en-GB"/>
        </w:rPr>
        <w:t>ECRI a toutefois été informée des besoins en classes</w:t>
      </w:r>
      <w:r>
        <w:rPr>
          <w:lang w:eastAsia="en-GB"/>
        </w:rPr>
        <w:t xml:space="preserve"> </w:t>
      </w:r>
      <w:r w:rsidRPr="00B04D0D">
        <w:rPr>
          <w:lang w:eastAsia="en-GB"/>
        </w:rPr>
        <w:t>préparatoires pour les élèves roms et en professeurs formés</w:t>
      </w:r>
      <w:r w:rsidR="0044729E">
        <w:rPr>
          <w:lang w:eastAsia="en-GB"/>
        </w:rPr>
        <w:t xml:space="preserve"> de manière adéquate</w:t>
      </w:r>
      <w:r w:rsidRPr="00B04D0D">
        <w:rPr>
          <w:lang w:eastAsia="en-GB"/>
        </w:rPr>
        <w:t>. Cela est</w:t>
      </w:r>
      <w:r>
        <w:rPr>
          <w:lang w:eastAsia="en-GB"/>
        </w:rPr>
        <w:t xml:space="preserve"> </w:t>
      </w:r>
      <w:r w:rsidRPr="00B04D0D">
        <w:rPr>
          <w:lang w:eastAsia="en-GB"/>
        </w:rPr>
        <w:t>d</w:t>
      </w:r>
      <w:r w:rsidR="00C419B2">
        <w:rPr>
          <w:lang w:eastAsia="en-GB"/>
        </w:rPr>
        <w:t>’</w:t>
      </w:r>
      <w:r w:rsidRPr="00B04D0D">
        <w:rPr>
          <w:lang w:eastAsia="en-GB"/>
        </w:rPr>
        <w:t>autant plus nécessaire que les avantages qui en découlent pour les enfants roms</w:t>
      </w:r>
      <w:r>
        <w:rPr>
          <w:lang w:eastAsia="en-GB"/>
        </w:rPr>
        <w:t xml:space="preserve"> </w:t>
      </w:r>
      <w:r w:rsidRPr="00B04D0D">
        <w:rPr>
          <w:lang w:eastAsia="en-GB"/>
        </w:rPr>
        <w:t>sont significatifs. L</w:t>
      </w:r>
      <w:r w:rsidR="00C419B2">
        <w:rPr>
          <w:lang w:eastAsia="en-GB"/>
        </w:rPr>
        <w:t>’</w:t>
      </w:r>
      <w:r w:rsidRPr="00B04D0D">
        <w:rPr>
          <w:lang w:eastAsia="en-GB"/>
        </w:rPr>
        <w:t>éducation est l</w:t>
      </w:r>
      <w:r w:rsidR="00C419B2">
        <w:rPr>
          <w:lang w:eastAsia="en-GB"/>
        </w:rPr>
        <w:t>’</w:t>
      </w:r>
      <w:r w:rsidRPr="00B04D0D">
        <w:rPr>
          <w:lang w:eastAsia="en-GB"/>
        </w:rPr>
        <w:t>un des objectifs du Programme d</w:t>
      </w:r>
      <w:r w:rsidR="00C419B2">
        <w:rPr>
          <w:lang w:eastAsia="en-GB"/>
        </w:rPr>
        <w:t>’</w:t>
      </w:r>
      <w:r w:rsidRPr="00B04D0D">
        <w:rPr>
          <w:lang w:eastAsia="en-GB"/>
        </w:rPr>
        <w:t>action intégré pour</w:t>
      </w:r>
      <w:r>
        <w:rPr>
          <w:lang w:eastAsia="en-GB"/>
        </w:rPr>
        <w:t xml:space="preserve"> </w:t>
      </w:r>
      <w:r w:rsidRPr="00B04D0D">
        <w:rPr>
          <w:lang w:eastAsia="en-GB"/>
        </w:rPr>
        <w:t>l</w:t>
      </w:r>
      <w:r w:rsidR="00C419B2">
        <w:rPr>
          <w:lang w:eastAsia="en-GB"/>
        </w:rPr>
        <w:t>’</w:t>
      </w:r>
      <w:r w:rsidRPr="00B04D0D">
        <w:rPr>
          <w:lang w:eastAsia="en-GB"/>
        </w:rPr>
        <w:t>insertion sociale des Roms adopté en 2002. Cependant, davantage de mesures</w:t>
      </w:r>
      <w:r>
        <w:rPr>
          <w:lang w:eastAsia="en-GB"/>
        </w:rPr>
        <w:t xml:space="preserve"> </w:t>
      </w:r>
      <w:r w:rsidRPr="00B04D0D">
        <w:rPr>
          <w:lang w:eastAsia="en-GB"/>
        </w:rPr>
        <w:t>doivent être adoptées afin, notamment, que les difficultés rencontrées par les Roms</w:t>
      </w:r>
      <w:r>
        <w:rPr>
          <w:lang w:eastAsia="en-GB"/>
        </w:rPr>
        <w:t xml:space="preserve"> </w:t>
      </w:r>
      <w:r w:rsidRPr="00B04D0D">
        <w:rPr>
          <w:lang w:eastAsia="en-GB"/>
        </w:rPr>
        <w:t>dans le domaine de l</w:t>
      </w:r>
      <w:r w:rsidR="00C419B2">
        <w:rPr>
          <w:lang w:eastAsia="en-GB"/>
        </w:rPr>
        <w:t>’</w:t>
      </w:r>
      <w:r w:rsidRPr="00B04D0D">
        <w:rPr>
          <w:lang w:eastAsia="en-GB"/>
        </w:rPr>
        <w:t>éducation soient traitées dans le cadre de ce programme. Une</w:t>
      </w:r>
      <w:r>
        <w:rPr>
          <w:lang w:eastAsia="en-GB"/>
        </w:rPr>
        <w:t xml:space="preserve"> </w:t>
      </w:r>
      <w:r w:rsidR="0044729E">
        <w:rPr>
          <w:lang w:eastAsia="en-GB"/>
        </w:rPr>
        <w:t>c</w:t>
      </w:r>
      <w:r w:rsidRPr="00B04D0D">
        <w:rPr>
          <w:lang w:eastAsia="en-GB"/>
        </w:rPr>
        <w:t xml:space="preserve">ommission interministérielle coordonne, au sein du </w:t>
      </w:r>
      <w:r w:rsidR="00B667E4">
        <w:rPr>
          <w:lang w:eastAsia="en-GB"/>
        </w:rPr>
        <w:t>m</w:t>
      </w:r>
      <w:r w:rsidRPr="00B04D0D">
        <w:rPr>
          <w:lang w:eastAsia="en-GB"/>
        </w:rPr>
        <w:t>inistère de l</w:t>
      </w:r>
      <w:r w:rsidR="00C419B2">
        <w:rPr>
          <w:lang w:eastAsia="en-GB"/>
        </w:rPr>
        <w:t>’</w:t>
      </w:r>
      <w:r w:rsidRPr="00B04D0D">
        <w:rPr>
          <w:lang w:eastAsia="en-GB"/>
        </w:rPr>
        <w:t>Intérieur, les</w:t>
      </w:r>
      <w:r>
        <w:rPr>
          <w:lang w:eastAsia="en-GB"/>
        </w:rPr>
        <w:t xml:space="preserve"> </w:t>
      </w:r>
      <w:r w:rsidRPr="00B04D0D">
        <w:rPr>
          <w:lang w:eastAsia="en-GB"/>
        </w:rPr>
        <w:t>activités de tous les ministères qui participent à l</w:t>
      </w:r>
      <w:r w:rsidR="00C419B2">
        <w:rPr>
          <w:lang w:eastAsia="en-GB"/>
        </w:rPr>
        <w:t>’</w:t>
      </w:r>
      <w:r w:rsidRPr="00B04D0D">
        <w:rPr>
          <w:lang w:eastAsia="en-GB"/>
        </w:rPr>
        <w:t>application du Programme d</w:t>
      </w:r>
      <w:r w:rsidR="00C419B2">
        <w:rPr>
          <w:lang w:eastAsia="en-GB"/>
        </w:rPr>
        <w:t>’</w:t>
      </w:r>
      <w:r w:rsidRPr="00B04D0D">
        <w:rPr>
          <w:lang w:eastAsia="en-GB"/>
        </w:rPr>
        <w:t>action</w:t>
      </w:r>
      <w:r>
        <w:rPr>
          <w:lang w:eastAsia="en-GB"/>
        </w:rPr>
        <w:t xml:space="preserve"> </w:t>
      </w:r>
      <w:r w:rsidRPr="00B04D0D">
        <w:rPr>
          <w:lang w:eastAsia="en-GB"/>
        </w:rPr>
        <w:t>intégré pour l</w:t>
      </w:r>
      <w:r w:rsidR="00C419B2">
        <w:rPr>
          <w:lang w:eastAsia="en-GB"/>
        </w:rPr>
        <w:t>’</w:t>
      </w:r>
      <w:r w:rsidRPr="00B04D0D">
        <w:rPr>
          <w:lang w:eastAsia="en-GB"/>
        </w:rPr>
        <w:t xml:space="preserve">insertion sociale des Roms. Il est </w:t>
      </w:r>
      <w:r w:rsidR="0044729E">
        <w:rPr>
          <w:lang w:eastAsia="en-GB"/>
        </w:rPr>
        <w:t>d</w:t>
      </w:r>
      <w:r w:rsidR="00C419B2">
        <w:rPr>
          <w:lang w:eastAsia="en-GB"/>
        </w:rPr>
        <w:t>’</w:t>
      </w:r>
      <w:r w:rsidR="0044729E">
        <w:rPr>
          <w:lang w:eastAsia="en-GB"/>
        </w:rPr>
        <w:t xml:space="preserve">une importance </w:t>
      </w:r>
      <w:r w:rsidRPr="00B04D0D">
        <w:rPr>
          <w:lang w:eastAsia="en-GB"/>
        </w:rPr>
        <w:t>crucial</w:t>
      </w:r>
      <w:r w:rsidR="0044729E">
        <w:rPr>
          <w:lang w:eastAsia="en-GB"/>
        </w:rPr>
        <w:t>e</w:t>
      </w:r>
      <w:r w:rsidRPr="00B04D0D">
        <w:rPr>
          <w:lang w:eastAsia="en-GB"/>
        </w:rPr>
        <w:t xml:space="preserve"> que tous les ministères</w:t>
      </w:r>
      <w:r>
        <w:rPr>
          <w:lang w:eastAsia="en-GB"/>
        </w:rPr>
        <w:t xml:space="preserve"> </w:t>
      </w:r>
      <w:r w:rsidRPr="00B04D0D">
        <w:rPr>
          <w:lang w:eastAsia="en-GB"/>
        </w:rPr>
        <w:t>concernés travaillent de concert, dans la mesure où la situation des enfants roms dans</w:t>
      </w:r>
      <w:r>
        <w:rPr>
          <w:lang w:eastAsia="en-GB"/>
        </w:rPr>
        <w:t xml:space="preserve"> </w:t>
      </w:r>
      <w:r w:rsidRPr="00B04D0D">
        <w:rPr>
          <w:lang w:eastAsia="en-GB"/>
        </w:rPr>
        <w:t>le système scolaire est inextricablement liée à leur situation socio-économique, y</w:t>
      </w:r>
      <w:r>
        <w:rPr>
          <w:lang w:eastAsia="en-GB"/>
        </w:rPr>
        <w:t xml:space="preserve"> </w:t>
      </w:r>
      <w:r w:rsidRPr="00B04D0D">
        <w:rPr>
          <w:lang w:eastAsia="en-GB"/>
        </w:rPr>
        <w:t>compris leurs conditions de logement et le taux élevé de chômage de leurs parents</w:t>
      </w:r>
      <w:r>
        <w:rPr>
          <w:lang w:eastAsia="en-GB"/>
        </w:rPr>
        <w:t>.</w:t>
      </w:r>
    </w:p>
    <w:p w:rsidR="006E62E6" w:rsidRPr="00865676" w:rsidRDefault="006E62E6" w:rsidP="006E62E6">
      <w:pPr>
        <w:pStyle w:val="JuQuot"/>
        <w:rPr>
          <w:lang w:eastAsia="en-GB"/>
        </w:rPr>
      </w:pPr>
      <w:r w:rsidRPr="00B04D0D">
        <w:rPr>
          <w:lang w:eastAsia="en-GB"/>
        </w:rPr>
        <w:t>56.</w:t>
      </w:r>
      <w:r w:rsidR="00D26009">
        <w:rPr>
          <w:lang w:eastAsia="en-GB"/>
        </w:rPr>
        <w:t>  </w:t>
      </w:r>
      <w:r w:rsidRPr="00B04D0D">
        <w:rPr>
          <w:lang w:eastAsia="en-GB"/>
        </w:rPr>
        <w:t>L</w:t>
      </w:r>
      <w:r w:rsidR="00C419B2">
        <w:rPr>
          <w:lang w:eastAsia="en-GB"/>
        </w:rPr>
        <w:t>’</w:t>
      </w:r>
      <w:r w:rsidRPr="00B04D0D">
        <w:rPr>
          <w:lang w:eastAsia="en-GB"/>
        </w:rPr>
        <w:t>ECRI exhorte les autorités grecques à renforcer les mesures prises pour faire face</w:t>
      </w:r>
      <w:r>
        <w:rPr>
          <w:lang w:eastAsia="en-GB"/>
        </w:rPr>
        <w:t xml:space="preserve"> </w:t>
      </w:r>
      <w:r w:rsidRPr="00B04D0D">
        <w:rPr>
          <w:lang w:eastAsia="en-GB"/>
        </w:rPr>
        <w:t xml:space="preserve">aux difficultés que les enfants </w:t>
      </w:r>
      <w:r w:rsidR="0044729E">
        <w:rPr>
          <w:lang w:eastAsia="en-GB"/>
        </w:rPr>
        <w:t>r</w:t>
      </w:r>
      <w:r w:rsidRPr="00B04D0D">
        <w:rPr>
          <w:lang w:eastAsia="en-GB"/>
        </w:rPr>
        <w:t>oms rencontrent dans le domaine de l</w:t>
      </w:r>
      <w:r w:rsidR="00C419B2">
        <w:rPr>
          <w:lang w:eastAsia="en-GB"/>
        </w:rPr>
        <w:t>’</w:t>
      </w:r>
      <w:r w:rsidRPr="00B04D0D">
        <w:rPr>
          <w:lang w:eastAsia="en-GB"/>
        </w:rPr>
        <w:t>éducation,</w:t>
      </w:r>
      <w:r>
        <w:rPr>
          <w:lang w:eastAsia="en-GB"/>
        </w:rPr>
        <w:t xml:space="preserve"> </w:t>
      </w:r>
      <w:r w:rsidRPr="00B04D0D">
        <w:rPr>
          <w:lang w:eastAsia="en-GB"/>
        </w:rPr>
        <w:t>notamment l</w:t>
      </w:r>
      <w:r w:rsidR="00C419B2">
        <w:rPr>
          <w:lang w:eastAsia="en-GB"/>
        </w:rPr>
        <w:t>’</w:t>
      </w:r>
      <w:r w:rsidRPr="00B04D0D">
        <w:rPr>
          <w:lang w:eastAsia="en-GB"/>
        </w:rPr>
        <w:t>exclusion, la discrimination et le faible taux de réussite, conformément à,</w:t>
      </w:r>
      <w:r>
        <w:rPr>
          <w:lang w:eastAsia="en-GB"/>
        </w:rPr>
        <w:t xml:space="preserve"> </w:t>
      </w:r>
      <w:r w:rsidRPr="00B04D0D">
        <w:rPr>
          <w:lang w:eastAsia="en-GB"/>
        </w:rPr>
        <w:t>entre autres, l</w:t>
      </w:r>
      <w:r w:rsidR="00C419B2">
        <w:rPr>
          <w:lang w:eastAsia="en-GB"/>
        </w:rPr>
        <w:t>’</w:t>
      </w:r>
      <w:r w:rsidRPr="00B04D0D">
        <w:rPr>
          <w:lang w:eastAsia="en-GB"/>
        </w:rPr>
        <w:t>arrêt rendu par la Cour européenne des droits de l</w:t>
      </w:r>
      <w:r w:rsidR="00C419B2">
        <w:rPr>
          <w:lang w:eastAsia="en-GB"/>
        </w:rPr>
        <w:t>’</w:t>
      </w:r>
      <w:r w:rsidR="00D26009">
        <w:rPr>
          <w:lang w:eastAsia="en-GB"/>
        </w:rPr>
        <w:t>h</w:t>
      </w:r>
      <w:r w:rsidRPr="00B04D0D">
        <w:rPr>
          <w:lang w:eastAsia="en-GB"/>
        </w:rPr>
        <w:t>omme sur la</w:t>
      </w:r>
      <w:r>
        <w:rPr>
          <w:lang w:eastAsia="en-GB"/>
        </w:rPr>
        <w:t xml:space="preserve"> </w:t>
      </w:r>
      <w:r w:rsidRPr="00B04D0D">
        <w:rPr>
          <w:lang w:eastAsia="en-GB"/>
        </w:rPr>
        <w:t>question et sa Recommandation de politique générale n</w:t>
      </w:r>
      <w:r w:rsidR="009202F2" w:rsidRPr="009202F2">
        <w:rPr>
          <w:vertAlign w:val="superscript"/>
          <w:lang w:eastAsia="en-GB"/>
        </w:rPr>
        <w:t>o</w:t>
      </w:r>
      <w:r w:rsidRPr="00B04D0D">
        <w:rPr>
          <w:lang w:eastAsia="en-GB"/>
        </w:rPr>
        <w:t xml:space="preserve"> 10 sur la lutte contre le</w:t>
      </w:r>
      <w:r>
        <w:rPr>
          <w:lang w:eastAsia="en-GB"/>
        </w:rPr>
        <w:t xml:space="preserve"> </w:t>
      </w:r>
      <w:r w:rsidRPr="00B04D0D">
        <w:rPr>
          <w:lang w:eastAsia="en-GB"/>
        </w:rPr>
        <w:t>racisme et la discrimination raciale dans et à travers l</w:t>
      </w:r>
      <w:r w:rsidR="00C419B2">
        <w:rPr>
          <w:lang w:eastAsia="en-GB"/>
        </w:rPr>
        <w:t>’</w:t>
      </w:r>
      <w:r w:rsidRPr="00B04D0D">
        <w:rPr>
          <w:lang w:eastAsia="en-GB"/>
        </w:rPr>
        <w:t>éducation scolaire. Elle leur</w:t>
      </w:r>
      <w:r>
        <w:rPr>
          <w:lang w:eastAsia="en-GB"/>
        </w:rPr>
        <w:t xml:space="preserve"> </w:t>
      </w:r>
      <w:r w:rsidRPr="00B04D0D">
        <w:rPr>
          <w:lang w:eastAsia="en-GB"/>
        </w:rPr>
        <w:t>recommande en outre d</w:t>
      </w:r>
      <w:r w:rsidR="00C419B2">
        <w:rPr>
          <w:lang w:eastAsia="en-GB"/>
        </w:rPr>
        <w:t>’</w:t>
      </w:r>
      <w:r w:rsidRPr="00B04D0D">
        <w:rPr>
          <w:lang w:eastAsia="en-GB"/>
        </w:rPr>
        <w:t>adopter une démarche globale pour traiter ces difficultés,</w:t>
      </w:r>
      <w:r>
        <w:rPr>
          <w:lang w:eastAsia="en-GB"/>
        </w:rPr>
        <w:t xml:space="preserve"> n</w:t>
      </w:r>
      <w:r w:rsidRPr="00B04D0D">
        <w:rPr>
          <w:lang w:eastAsia="en-GB"/>
        </w:rPr>
        <w:t>otamment par l</w:t>
      </w:r>
      <w:r w:rsidR="00C419B2">
        <w:rPr>
          <w:lang w:eastAsia="en-GB"/>
        </w:rPr>
        <w:t>’</w:t>
      </w:r>
      <w:r w:rsidRPr="00B04D0D">
        <w:rPr>
          <w:lang w:eastAsia="en-GB"/>
        </w:rPr>
        <w:t xml:space="preserve">intermédiaire de la </w:t>
      </w:r>
      <w:r w:rsidR="0044729E">
        <w:rPr>
          <w:lang w:eastAsia="en-GB"/>
        </w:rPr>
        <w:t>c</w:t>
      </w:r>
      <w:r w:rsidRPr="00B04D0D">
        <w:rPr>
          <w:lang w:eastAsia="en-GB"/>
        </w:rPr>
        <w:t>ommission interministérielle sur les questions</w:t>
      </w:r>
      <w:r>
        <w:rPr>
          <w:lang w:eastAsia="en-GB"/>
        </w:rPr>
        <w:t xml:space="preserve"> </w:t>
      </w:r>
      <w:r w:rsidRPr="00865676">
        <w:rPr>
          <w:lang w:eastAsia="en-GB"/>
        </w:rPr>
        <w:t>roms.</w:t>
      </w:r>
      <w:r>
        <w:rPr>
          <w:lang w:eastAsia="en-GB"/>
        </w:rPr>
        <w:t> »</w:t>
      </w:r>
    </w:p>
    <w:p w:rsidR="00EC6427" w:rsidRPr="000E496D" w:rsidRDefault="00EC6427" w:rsidP="00B33C50">
      <w:pPr>
        <w:pStyle w:val="JuHHead"/>
      </w:pPr>
      <w:r w:rsidRPr="000E496D">
        <w:t>EN DROIT</w:t>
      </w:r>
    </w:p>
    <w:p w:rsidR="00EC6427" w:rsidRPr="000E496D" w:rsidRDefault="00EC6427" w:rsidP="00AA7FB5">
      <w:pPr>
        <w:pStyle w:val="JuHIRoman"/>
      </w:pPr>
      <w:r w:rsidRPr="000E496D">
        <w:t>I.  SUR LA VIOLATION ALLÉGUÉE DE L</w:t>
      </w:r>
      <w:r w:rsidR="00C419B2">
        <w:t>’</w:t>
      </w:r>
      <w:r w:rsidRPr="000E496D">
        <w:t xml:space="preserve">ARTICLE </w:t>
      </w:r>
      <w:r w:rsidR="005628AF">
        <w:t>14</w:t>
      </w:r>
      <w:r w:rsidRPr="000E496D">
        <w:t xml:space="preserve"> DE LA CONVENTION</w:t>
      </w:r>
      <w:r w:rsidR="005628AF">
        <w:t xml:space="preserve"> COMBIN</w:t>
      </w:r>
      <w:r w:rsidR="00B94C6E" w:rsidRPr="000E496D">
        <w:t>É</w:t>
      </w:r>
      <w:r w:rsidR="005628AF">
        <w:t xml:space="preserve"> AVEC L</w:t>
      </w:r>
      <w:r w:rsidR="00C419B2">
        <w:t>’</w:t>
      </w:r>
      <w:r w:rsidR="005628AF">
        <w:t xml:space="preserve">ARTICLE 2 DU </w:t>
      </w:r>
      <w:r w:rsidR="00B94C6E">
        <w:t>PROTOCOLE </w:t>
      </w:r>
      <w:r w:rsidR="005628AF">
        <w:t>N</w:t>
      </w:r>
      <w:r w:rsidR="009202F2" w:rsidRPr="009202F2">
        <w:rPr>
          <w:vertAlign w:val="superscript"/>
        </w:rPr>
        <w:t>o</w:t>
      </w:r>
      <w:r w:rsidR="005628AF">
        <w:t xml:space="preserve"> 1</w:t>
      </w:r>
      <w:r w:rsidR="00A93E17">
        <w:t xml:space="preserve"> À LA CONVENTION</w:t>
      </w:r>
    </w:p>
    <w:p w:rsidR="00EC6427" w:rsidRPr="000E496D" w:rsidRDefault="000E496D">
      <w:pPr>
        <w:pStyle w:val="JuPara"/>
      </w:pPr>
      <w:r w:rsidRPr="00183C8B">
        <w:fldChar w:fldCharType="begin"/>
      </w:r>
      <w:r w:rsidRPr="00183C8B">
        <w:instrText xml:space="preserve"> SEQ level0 \*arabic </w:instrText>
      </w:r>
      <w:r w:rsidRPr="00183C8B">
        <w:fldChar w:fldCharType="separate"/>
      </w:r>
      <w:r w:rsidR="00E555B3">
        <w:rPr>
          <w:noProof/>
        </w:rPr>
        <w:t>46</w:t>
      </w:r>
      <w:r w:rsidRPr="00183C8B">
        <w:fldChar w:fldCharType="end"/>
      </w:r>
      <w:r w:rsidR="00EC6427" w:rsidRPr="00183C8B">
        <w:t>.  </w:t>
      </w:r>
      <w:r w:rsidRPr="00183C8B">
        <w:t>Les requérants</w:t>
      </w:r>
      <w:r w:rsidR="003F32BA" w:rsidRPr="00183C8B">
        <w:t xml:space="preserve"> se plaignent d</w:t>
      </w:r>
      <w:r w:rsidR="00C419B2">
        <w:t>’</w:t>
      </w:r>
      <w:r w:rsidR="003F32BA" w:rsidRPr="00183C8B">
        <w:t>une discrimination du fait des</w:t>
      </w:r>
      <w:r w:rsidR="003F32BA">
        <w:t xml:space="preserve"> conditions de leur scolarisation pendant les années scolaires 2008-2009 et 2009-2010</w:t>
      </w:r>
      <w:r w:rsidR="00DD2829">
        <w:t xml:space="preserve"> : </w:t>
      </w:r>
      <w:r w:rsidR="00C65F70">
        <w:t xml:space="preserve">ils auraient été </w:t>
      </w:r>
      <w:r w:rsidR="00DD2829">
        <w:t>scolarisés dans une école installée dans un bâtiment préfabriqué, fréquenté</w:t>
      </w:r>
      <w:r w:rsidR="00C65F70">
        <w:t>e</w:t>
      </w:r>
      <w:r w:rsidR="00DD2829">
        <w:t xml:space="preserve"> uniquement par les enfants de leur communauté et offrant un niveau d</w:t>
      </w:r>
      <w:r w:rsidR="00C419B2">
        <w:t>’</w:t>
      </w:r>
      <w:r w:rsidR="00DD2829">
        <w:t>études inférieur à celui des autres écoles.</w:t>
      </w:r>
      <w:r w:rsidR="00EC6427" w:rsidRPr="000E496D">
        <w:t xml:space="preserve"> </w:t>
      </w:r>
      <w:r w:rsidR="003F32BA">
        <w:t xml:space="preserve">Ils </w:t>
      </w:r>
      <w:r w:rsidR="00C65F70">
        <w:t>dénonc</w:t>
      </w:r>
      <w:r w:rsidR="003F32BA">
        <w:t>ent une violation de l</w:t>
      </w:r>
      <w:r w:rsidR="00C419B2">
        <w:t>’</w:t>
      </w:r>
      <w:r w:rsidR="003F32BA">
        <w:t>article 14 de la Convention combiné avec l</w:t>
      </w:r>
      <w:r w:rsidR="00C419B2">
        <w:t>’</w:t>
      </w:r>
      <w:r w:rsidR="003F32BA">
        <w:t>article 2 du Protocole n</w:t>
      </w:r>
      <w:r w:rsidR="009202F2" w:rsidRPr="009202F2">
        <w:rPr>
          <w:vertAlign w:val="superscript"/>
        </w:rPr>
        <w:t>o</w:t>
      </w:r>
      <w:r w:rsidR="003F32BA">
        <w:t xml:space="preserve"> 1 </w:t>
      </w:r>
      <w:r w:rsidR="00C65F70">
        <w:t>à la Convention. Ces dispositions</w:t>
      </w:r>
      <w:r w:rsidR="003F32BA">
        <w:t xml:space="preserve"> sont </w:t>
      </w:r>
      <w:r w:rsidR="00EC6427" w:rsidRPr="000E496D">
        <w:t>ainsi libellé</w:t>
      </w:r>
      <w:r w:rsidR="00C65F70">
        <w:t>e</w:t>
      </w:r>
      <w:r w:rsidR="003F32BA">
        <w:t>s</w:t>
      </w:r>
      <w:r w:rsidR="00EC6427" w:rsidRPr="000E496D">
        <w:t> :</w:t>
      </w:r>
    </w:p>
    <w:p w:rsidR="003F32BA" w:rsidRPr="003F32BA" w:rsidRDefault="003F32BA" w:rsidP="000832C5">
      <w:pPr>
        <w:pStyle w:val="JuHArticle"/>
      </w:pPr>
      <w:r w:rsidRPr="003F32BA">
        <w:t>Article 14 de la Convention</w:t>
      </w:r>
    </w:p>
    <w:p w:rsidR="003F32BA" w:rsidRDefault="003F32BA">
      <w:pPr>
        <w:pStyle w:val="JuQuot"/>
      </w:pPr>
      <w:r>
        <w:t>« La jouissance des droits et libertés reconnus dans la (...) Convention doit être assurée, sans distinction aucune, fondée notamment sur le sexe, la race, la couleur, la langue, la religion, les opinions politiques ou toutes autres opinions, l</w:t>
      </w:r>
      <w:r w:rsidR="00C419B2">
        <w:t>’</w:t>
      </w:r>
      <w:r>
        <w:t>origine nationale ou sociale, l</w:t>
      </w:r>
      <w:r w:rsidR="00C419B2">
        <w:t>’</w:t>
      </w:r>
      <w:r>
        <w:t>appartenance à une minorité nationale, la fortune, la naissance ou toute autre situation. »</w:t>
      </w:r>
    </w:p>
    <w:p w:rsidR="003F32BA" w:rsidRPr="003F32BA" w:rsidRDefault="003F32BA" w:rsidP="000832C5">
      <w:pPr>
        <w:pStyle w:val="JuHArticle"/>
      </w:pPr>
      <w:r w:rsidRPr="003F32BA">
        <w:t>Article 2 du Protocole n</w:t>
      </w:r>
      <w:r w:rsidR="009202F2" w:rsidRPr="009202F2">
        <w:rPr>
          <w:vertAlign w:val="superscript"/>
        </w:rPr>
        <w:t>o</w:t>
      </w:r>
      <w:r w:rsidRPr="003F32BA">
        <w:t xml:space="preserve"> 1</w:t>
      </w:r>
    </w:p>
    <w:p w:rsidR="00EC6427" w:rsidRPr="000E496D" w:rsidRDefault="003F32BA">
      <w:pPr>
        <w:pStyle w:val="JuQuot"/>
      </w:pPr>
      <w:r>
        <w:t>« Nul ne peut se voir refuser le droit à l</w:t>
      </w:r>
      <w:r w:rsidR="00C419B2">
        <w:t>’</w:t>
      </w:r>
      <w:r>
        <w:t>instruction. L</w:t>
      </w:r>
      <w:r w:rsidR="00C419B2">
        <w:t>’</w:t>
      </w:r>
      <w:r>
        <w:t>Etat, dans l</w:t>
      </w:r>
      <w:r w:rsidR="00C419B2">
        <w:t>’</w:t>
      </w:r>
      <w:r>
        <w:t>exercice des fonctions qu</w:t>
      </w:r>
      <w:r w:rsidR="00C419B2">
        <w:t>’</w:t>
      </w:r>
      <w:r>
        <w:t>il assumera dans le domaine de l</w:t>
      </w:r>
      <w:r w:rsidR="00C419B2">
        <w:t>’</w:t>
      </w:r>
      <w:r>
        <w:t>éducation et de l</w:t>
      </w:r>
      <w:r w:rsidR="00C419B2">
        <w:t>’</w:t>
      </w:r>
      <w:r>
        <w:t>enseignement, respectera le droit des parents d</w:t>
      </w:r>
      <w:r w:rsidR="00C419B2">
        <w:t>’</w:t>
      </w:r>
      <w:r>
        <w:t>assurer cette éducation et cet enseignement conformément à leurs convictions religieuses et philosophiques. »</w:t>
      </w:r>
    </w:p>
    <w:p w:rsidR="00EC6427" w:rsidRPr="000E496D" w:rsidRDefault="00930694" w:rsidP="00B33C50">
      <w:pPr>
        <w:pStyle w:val="JuHA"/>
        <w:outlineLvl w:val="0"/>
      </w:pPr>
      <w:r>
        <w:t>A</w:t>
      </w:r>
      <w:r w:rsidR="00EC6427" w:rsidRPr="000E496D">
        <w:t>.  Sur la recevabilité</w:t>
      </w:r>
    </w:p>
    <w:p w:rsidR="003F32BA" w:rsidRDefault="003C7F72" w:rsidP="003C7F72">
      <w:pPr>
        <w:pStyle w:val="JuH1"/>
      </w:pPr>
      <w:r>
        <w:t>1.  Non-respect du délai de six mois</w:t>
      </w:r>
    </w:p>
    <w:p w:rsidR="003C7F72" w:rsidRDefault="00970717">
      <w:pPr>
        <w:pStyle w:val="JuPara"/>
      </w:pPr>
      <w:r>
        <w:fldChar w:fldCharType="begin"/>
      </w:r>
      <w:r>
        <w:instrText xml:space="preserve"> SEQ level0 \*arabic </w:instrText>
      </w:r>
      <w:r>
        <w:fldChar w:fldCharType="separate"/>
      </w:r>
      <w:r w:rsidR="00E555B3">
        <w:rPr>
          <w:noProof/>
        </w:rPr>
        <w:t>47</w:t>
      </w:r>
      <w:r>
        <w:fldChar w:fldCharType="end"/>
      </w:r>
      <w:r>
        <w:t>.  </w:t>
      </w:r>
      <w:r w:rsidR="003C7F72">
        <w:t xml:space="preserve">Le Gouvernement </w:t>
      </w:r>
      <w:r w:rsidR="003E05D0">
        <w:t>excipe du non-respect du délai de six mois</w:t>
      </w:r>
      <w:r w:rsidR="003442A8">
        <w:t>,</w:t>
      </w:r>
      <w:r w:rsidR="003E05D0">
        <w:t xml:space="preserve"> car la requête a</w:t>
      </w:r>
      <w:r w:rsidR="00B97093">
        <w:t>urait</w:t>
      </w:r>
      <w:r w:rsidR="003E05D0">
        <w:t xml:space="preserve"> été introduite plus de six mois après l</w:t>
      </w:r>
      <w:r w:rsidR="00C419B2">
        <w:t>’</w:t>
      </w:r>
      <w:r w:rsidR="003E05D0">
        <w:t>adoption des actes fix</w:t>
      </w:r>
      <w:r w:rsidR="00B97093">
        <w:t>ant</w:t>
      </w:r>
      <w:r w:rsidR="003E05D0">
        <w:t xml:space="preserve"> la situation dont se plaignent les requérants : la décision de la </w:t>
      </w:r>
      <w:r w:rsidR="00B97093">
        <w:t>d</w:t>
      </w:r>
      <w:r w:rsidR="003E05D0">
        <w:t>irection de l</w:t>
      </w:r>
      <w:r w:rsidR="00C419B2">
        <w:t>’</w:t>
      </w:r>
      <w:r w:rsidR="003E05D0">
        <w:t>éducation primaire de l</w:t>
      </w:r>
      <w:r w:rsidR="00C419B2">
        <w:t>’</w:t>
      </w:r>
      <w:r w:rsidR="003E05D0">
        <w:t>Attique</w:t>
      </w:r>
      <w:r w:rsidR="00B97093" w:rsidRPr="00B97093">
        <w:t xml:space="preserve"> </w:t>
      </w:r>
      <w:r w:rsidR="00B97093">
        <w:t>de l</w:t>
      </w:r>
      <w:r w:rsidR="00C419B2">
        <w:t>’</w:t>
      </w:r>
      <w:r w:rsidR="00B97093">
        <w:t>Ouest</w:t>
      </w:r>
      <w:r w:rsidR="003E05D0">
        <w:t xml:space="preserve">, du 10 avril 2008, </w:t>
      </w:r>
      <w:r w:rsidR="008A74CE">
        <w:t xml:space="preserve">qui </w:t>
      </w:r>
      <w:r w:rsidR="007E37A9">
        <w:t>a établi</w:t>
      </w:r>
      <w:r w:rsidR="003E05D0">
        <w:t xml:space="preserve"> </w:t>
      </w:r>
      <w:r w:rsidR="00935FBB">
        <w:t>la carte scolaire</w:t>
      </w:r>
      <w:r w:rsidR="003E05D0">
        <w:t xml:space="preserve"> de la région</w:t>
      </w:r>
      <w:r w:rsidR="00B97093">
        <w:t>,</w:t>
      </w:r>
      <w:r w:rsidR="003E05D0">
        <w:t xml:space="preserve"> l</w:t>
      </w:r>
      <w:r w:rsidR="00C419B2">
        <w:t>’</w:t>
      </w:r>
      <w:r w:rsidR="003E05D0">
        <w:t xml:space="preserve">arrêté préfectoral du 24 juin 2008, </w:t>
      </w:r>
      <w:r w:rsidR="008A74CE">
        <w:t xml:space="preserve">qui </w:t>
      </w:r>
      <w:r w:rsidR="001F021B">
        <w:t>a approuvé</w:t>
      </w:r>
      <w:r w:rsidR="003E05D0">
        <w:t xml:space="preserve"> </w:t>
      </w:r>
      <w:r w:rsidR="008A74CE">
        <w:t>le fonctionnement de la 12</w:t>
      </w:r>
      <w:r w:rsidR="008A74CE" w:rsidRPr="008A74CE">
        <w:rPr>
          <w:vertAlign w:val="superscript"/>
        </w:rPr>
        <w:t>e</w:t>
      </w:r>
      <w:r w:rsidR="008A74CE">
        <w:t xml:space="preserve"> école dans le bâtiment préfabriqué jouxtant la 10</w:t>
      </w:r>
      <w:r w:rsidR="008A74CE" w:rsidRPr="008A74CE">
        <w:rPr>
          <w:vertAlign w:val="superscript"/>
        </w:rPr>
        <w:t>e</w:t>
      </w:r>
      <w:r w:rsidR="008A74CE">
        <w:t xml:space="preserve"> école</w:t>
      </w:r>
      <w:r w:rsidR="00B97093">
        <w:t>, et</w:t>
      </w:r>
      <w:r w:rsidR="008A74CE">
        <w:t xml:space="preserve"> l</w:t>
      </w:r>
      <w:r w:rsidR="00C419B2">
        <w:t>’</w:t>
      </w:r>
      <w:r w:rsidR="008A74CE">
        <w:t xml:space="preserve">arrêté préfectoral du 17 octobre 2007, qui a rejeté la proposition du </w:t>
      </w:r>
      <w:r w:rsidR="003442A8">
        <w:t xml:space="preserve">département </w:t>
      </w:r>
      <w:r w:rsidR="008A74CE">
        <w:t>régional de l</w:t>
      </w:r>
      <w:r w:rsidR="00C419B2">
        <w:t>’</w:t>
      </w:r>
      <w:r w:rsidR="008A74CE">
        <w:t>éducation d</w:t>
      </w:r>
      <w:r w:rsidR="00C419B2">
        <w:t>’</w:t>
      </w:r>
      <w:r w:rsidR="008A74CE">
        <w:t>intégrer la 12</w:t>
      </w:r>
      <w:r w:rsidR="008A74CE" w:rsidRPr="008A74CE">
        <w:rPr>
          <w:vertAlign w:val="superscript"/>
        </w:rPr>
        <w:t>e</w:t>
      </w:r>
      <w:r w:rsidR="00CB71D8">
        <w:t> </w:t>
      </w:r>
      <w:r w:rsidR="008A74CE">
        <w:t>école dans les bâtiments de la 11</w:t>
      </w:r>
      <w:r w:rsidR="008A74CE" w:rsidRPr="008A74CE">
        <w:rPr>
          <w:vertAlign w:val="superscript"/>
        </w:rPr>
        <w:t>e</w:t>
      </w:r>
      <w:r w:rsidR="008A74CE">
        <w:t xml:space="preserve"> école.</w:t>
      </w:r>
      <w:r w:rsidR="00733B9A">
        <w:t xml:space="preserve"> De plus</w:t>
      </w:r>
      <w:r w:rsidR="00B97093">
        <w:t>,</w:t>
      </w:r>
      <w:r w:rsidR="00733B9A">
        <w:t xml:space="preserve"> le Gouvernement soutient que</w:t>
      </w:r>
      <w:r w:rsidR="00B97093">
        <w:t>,</w:t>
      </w:r>
      <w:r w:rsidR="00733B9A">
        <w:t xml:space="preserve"> la requête ayant été introduite le 7 octobre 2009, l</w:t>
      </w:r>
      <w:r w:rsidR="00C419B2">
        <w:t>’</w:t>
      </w:r>
      <w:r w:rsidR="00733B9A">
        <w:t>année scolaire 2009-2010, qui a</w:t>
      </w:r>
      <w:r w:rsidR="00B97093">
        <w:t>urait</w:t>
      </w:r>
      <w:r w:rsidR="00733B9A">
        <w:t xml:space="preserve"> débuté en septembre 2009 et s</w:t>
      </w:r>
      <w:r w:rsidR="00B97093">
        <w:t>e serait</w:t>
      </w:r>
      <w:r w:rsidR="00733B9A">
        <w:t xml:space="preserve"> achevée en juin 2010, ne peut pas faire l</w:t>
      </w:r>
      <w:r w:rsidR="00C419B2">
        <w:t>’</w:t>
      </w:r>
      <w:r w:rsidR="00733B9A">
        <w:t>objet de l</w:t>
      </w:r>
      <w:r w:rsidR="00C419B2">
        <w:t>’</w:t>
      </w:r>
      <w:r w:rsidR="00733B9A">
        <w:t>examen de la présente requête.</w:t>
      </w:r>
    </w:p>
    <w:p w:rsidR="00A64796" w:rsidRDefault="00970717">
      <w:pPr>
        <w:pStyle w:val="JuPara"/>
      </w:pPr>
      <w:r>
        <w:fldChar w:fldCharType="begin"/>
      </w:r>
      <w:r>
        <w:instrText xml:space="preserve"> SEQ level0 \*arabic </w:instrText>
      </w:r>
      <w:r>
        <w:fldChar w:fldCharType="separate"/>
      </w:r>
      <w:r w:rsidR="00E555B3">
        <w:rPr>
          <w:noProof/>
        </w:rPr>
        <w:t>48</w:t>
      </w:r>
      <w:r>
        <w:fldChar w:fldCharType="end"/>
      </w:r>
      <w:r>
        <w:t>.  </w:t>
      </w:r>
      <w:r w:rsidR="00D7481B">
        <w:t xml:space="preserve">Les requérants </w:t>
      </w:r>
      <w:r w:rsidR="00B97093">
        <w:t xml:space="preserve">indiquent </w:t>
      </w:r>
      <w:r w:rsidR="00D7481B">
        <w:t>que ces actes ne comportent en eux-mêmes rien de discriminatoire. Pourtant, la situation litigieuse constitue</w:t>
      </w:r>
      <w:r w:rsidR="003442A8">
        <w:t>rait</w:t>
      </w:r>
      <w:r w:rsidR="00D7481B">
        <w:t xml:space="preserve"> une situation continue</w:t>
      </w:r>
      <w:r w:rsidR="003442A8">
        <w:t>,</w:t>
      </w:r>
      <w:r w:rsidR="00D7481B">
        <w:t xml:space="preserve"> car</w:t>
      </w:r>
      <w:r w:rsidR="003442A8">
        <w:t>, selon les requérants,</w:t>
      </w:r>
      <w:r w:rsidR="00D7481B">
        <w:t xml:space="preserve"> les autorités </w:t>
      </w:r>
      <w:r w:rsidR="003442A8">
        <w:t>auraient pu</w:t>
      </w:r>
      <w:r w:rsidR="00D7481B">
        <w:t xml:space="preserve"> prendre à tout moment, et notamment au début de chaque année scolaire, des mesures de nature à leur offrir un enseignement adéquat et conforme aux exigences de</w:t>
      </w:r>
      <w:r w:rsidR="00B97093">
        <w:t xml:space="preserve"> l</w:t>
      </w:r>
      <w:r w:rsidR="00C419B2">
        <w:t>’</w:t>
      </w:r>
      <w:r w:rsidR="00D7481B">
        <w:t xml:space="preserve">article 14 de la Convention et </w:t>
      </w:r>
      <w:r w:rsidR="00B97093">
        <w:t>de l</w:t>
      </w:r>
      <w:r w:rsidR="00C419B2">
        <w:t>’</w:t>
      </w:r>
      <w:r w:rsidR="00B97093">
        <w:t xml:space="preserve">article </w:t>
      </w:r>
      <w:r w:rsidR="00D7481B">
        <w:t>2 du Protocole n</w:t>
      </w:r>
      <w:r w:rsidR="009202F2" w:rsidRPr="009202F2">
        <w:rPr>
          <w:vertAlign w:val="superscript"/>
        </w:rPr>
        <w:t>o</w:t>
      </w:r>
      <w:r w:rsidR="00D7481B">
        <w:t xml:space="preserve"> 1.</w:t>
      </w:r>
    </w:p>
    <w:p w:rsidR="00A64796" w:rsidRPr="003442A8" w:rsidRDefault="00970717">
      <w:pPr>
        <w:pStyle w:val="JuPara"/>
      </w:pPr>
      <w:r>
        <w:fldChar w:fldCharType="begin"/>
      </w:r>
      <w:r>
        <w:instrText xml:space="preserve"> SEQ level0 \*arabic </w:instrText>
      </w:r>
      <w:r>
        <w:fldChar w:fldCharType="separate"/>
      </w:r>
      <w:r w:rsidR="00E555B3">
        <w:rPr>
          <w:noProof/>
        </w:rPr>
        <w:t>49</w:t>
      </w:r>
      <w:r>
        <w:fldChar w:fldCharType="end"/>
      </w:r>
      <w:r>
        <w:t>.  </w:t>
      </w:r>
      <w:r w:rsidR="00D7481B">
        <w:t xml:space="preserve">La Cour </w:t>
      </w:r>
      <w:r w:rsidR="00577803">
        <w:t>rappelle que les requérant</w:t>
      </w:r>
      <w:r w:rsidR="00F52EA7">
        <w:t>s</w:t>
      </w:r>
      <w:r w:rsidR="00577803">
        <w:t xml:space="preserve"> se plaignent de</w:t>
      </w:r>
      <w:r w:rsidR="00F45984">
        <w:t>s conditions de</w:t>
      </w:r>
      <w:r w:rsidR="00577803">
        <w:t xml:space="preserve"> leur scolarité pendant les années scolaires 2008-2009 et 2009-2010. </w:t>
      </w:r>
      <w:r w:rsidR="00B97093">
        <w:t>Elle note qu</w:t>
      </w:r>
      <w:r w:rsidR="00C419B2">
        <w:t>’</w:t>
      </w:r>
      <w:r w:rsidR="00B97093">
        <w:t>ils</w:t>
      </w:r>
      <w:r w:rsidR="00577803">
        <w:t xml:space="preserve"> ont saisi la Cour le 7 octobre 2009, </w:t>
      </w:r>
      <w:r w:rsidR="00B97093">
        <w:t>a</w:t>
      </w:r>
      <w:r w:rsidR="00577803">
        <w:t>lors</w:t>
      </w:r>
      <w:r w:rsidR="00B97093">
        <w:t xml:space="preserve"> </w:t>
      </w:r>
      <w:r w:rsidR="00577803">
        <w:t xml:space="preserve">que la deuxième année </w:t>
      </w:r>
      <w:r w:rsidR="00577803" w:rsidRPr="003442A8">
        <w:t>scolaire venait de commencer</w:t>
      </w:r>
      <w:r w:rsidR="008B76C7">
        <w:t xml:space="preserve"> en soutenant </w:t>
      </w:r>
      <w:r w:rsidR="00F45984" w:rsidRPr="003442A8">
        <w:t>que pendant cette année scolaire</w:t>
      </w:r>
      <w:r w:rsidR="00B97093" w:rsidRPr="003442A8">
        <w:t>,</w:t>
      </w:r>
      <w:r w:rsidR="00F45984" w:rsidRPr="003442A8">
        <w:t xml:space="preserve"> les problèmes dont </w:t>
      </w:r>
      <w:r w:rsidR="008B76C7">
        <w:t xml:space="preserve">ils </w:t>
      </w:r>
      <w:r w:rsidR="00F45984" w:rsidRPr="003442A8">
        <w:t xml:space="preserve">se plaignent </w:t>
      </w:r>
      <w:r w:rsidR="008B76C7">
        <w:t xml:space="preserve">se poursuivaient et </w:t>
      </w:r>
      <w:r w:rsidR="00B97093" w:rsidRPr="003442A8">
        <w:t xml:space="preserve">ont </w:t>
      </w:r>
      <w:r w:rsidR="00F45984" w:rsidRPr="003442A8">
        <w:t>persist</w:t>
      </w:r>
      <w:r w:rsidR="00B97093" w:rsidRPr="003442A8">
        <w:t>é</w:t>
      </w:r>
      <w:r w:rsidR="00F45984" w:rsidRPr="003442A8">
        <w:t xml:space="preserve"> et </w:t>
      </w:r>
      <w:r w:rsidR="00B97093" w:rsidRPr="003442A8">
        <w:t xml:space="preserve">que </w:t>
      </w:r>
      <w:r w:rsidR="00F45984" w:rsidRPr="003442A8">
        <w:t>les autorités n</w:t>
      </w:r>
      <w:r w:rsidR="00C419B2">
        <w:t>’</w:t>
      </w:r>
      <w:r w:rsidR="00B97093" w:rsidRPr="003442A8">
        <w:t>ont</w:t>
      </w:r>
      <w:r w:rsidR="00F45984" w:rsidRPr="003442A8">
        <w:t xml:space="preserve"> pas pris de mesures pour y remédier. </w:t>
      </w:r>
      <w:r w:rsidR="003442A8" w:rsidRPr="003442A8">
        <w:t>Partant, i</w:t>
      </w:r>
      <w:r w:rsidR="00694DCE" w:rsidRPr="003442A8">
        <w:t>l convient d</w:t>
      </w:r>
      <w:r w:rsidR="00C419B2">
        <w:t>’</w:t>
      </w:r>
      <w:r w:rsidR="00694DCE" w:rsidRPr="003442A8">
        <w:t xml:space="preserve">écarter </w:t>
      </w:r>
      <w:r w:rsidR="003442A8" w:rsidRPr="003442A8">
        <w:t>cette exception préliminaire</w:t>
      </w:r>
      <w:r w:rsidR="00694DCE" w:rsidRPr="003442A8">
        <w:t>.</w:t>
      </w:r>
    </w:p>
    <w:p w:rsidR="003C7F72" w:rsidRDefault="003C7F72" w:rsidP="003C7F72">
      <w:pPr>
        <w:pStyle w:val="JuH1"/>
      </w:pPr>
      <w:r w:rsidRPr="003442A8">
        <w:t>2.  Défaut de qualité de « victime »</w:t>
      </w:r>
    </w:p>
    <w:p w:rsidR="003C7F72" w:rsidRDefault="00970717">
      <w:pPr>
        <w:pStyle w:val="JuPara"/>
      </w:pPr>
      <w:r>
        <w:fldChar w:fldCharType="begin"/>
      </w:r>
      <w:r>
        <w:instrText xml:space="preserve"> SEQ level0 \*arabic </w:instrText>
      </w:r>
      <w:r>
        <w:fldChar w:fldCharType="separate"/>
      </w:r>
      <w:r w:rsidR="00E555B3">
        <w:rPr>
          <w:noProof/>
        </w:rPr>
        <w:t>50</w:t>
      </w:r>
      <w:r>
        <w:fldChar w:fldCharType="end"/>
      </w:r>
      <w:r>
        <w:t>.  </w:t>
      </w:r>
      <w:r w:rsidR="00E728AA">
        <w:t>L</w:t>
      </w:r>
      <w:r w:rsidR="003C7F72">
        <w:t xml:space="preserve">e Gouvernement </w:t>
      </w:r>
      <w:r w:rsidR="00406DEB">
        <w:t>soutient</w:t>
      </w:r>
      <w:r w:rsidR="005D4D66">
        <w:t>, d</w:t>
      </w:r>
      <w:r w:rsidR="00C419B2">
        <w:t>’</w:t>
      </w:r>
      <w:r w:rsidR="005D4D66">
        <w:t>une part,</w:t>
      </w:r>
      <w:r w:rsidR="00A2488C">
        <w:t xml:space="preserve"> </w:t>
      </w:r>
      <w:r w:rsidR="001F021B">
        <w:t>qu</w:t>
      </w:r>
      <w:r w:rsidR="00406DEB">
        <w:t xml:space="preserve">e, </w:t>
      </w:r>
      <w:r w:rsidR="001F021B">
        <w:t>à l</w:t>
      </w:r>
      <w:r w:rsidR="00C419B2">
        <w:t>’</w:t>
      </w:r>
      <w:r w:rsidR="001F021B">
        <w:t xml:space="preserve">exception </w:t>
      </w:r>
      <w:r w:rsidR="00406DEB">
        <w:t>de</w:t>
      </w:r>
      <w:r w:rsidR="001F021B">
        <w:t xml:space="preserve"> Zografo Sampani, Andreas Sampanis, Georgia Sa</w:t>
      </w:r>
      <w:r w:rsidR="000832C5">
        <w:t>mpani, Ioanna Sampani et Thomas </w:t>
      </w:r>
      <w:r w:rsidR="001F021B">
        <w:t xml:space="preserve">Christakis </w:t>
      </w:r>
      <w:r w:rsidR="00406DEB">
        <w:t xml:space="preserve">qui </w:t>
      </w:r>
      <w:r w:rsidR="001F021B">
        <w:t>a</w:t>
      </w:r>
      <w:r w:rsidR="00406DEB">
        <w:t>ur</w:t>
      </w:r>
      <w:r w:rsidR="001F021B">
        <w:t>aient</w:t>
      </w:r>
      <w:r w:rsidR="00406DEB">
        <w:t xml:space="preserve"> bénéficié d</w:t>
      </w:r>
      <w:r w:rsidR="00C419B2">
        <w:t>’</w:t>
      </w:r>
      <w:r w:rsidR="001F021B">
        <w:t>une scolarité qualifiée de « suffisante », le</w:t>
      </w:r>
      <w:r w:rsidR="00406DEB">
        <w:t>s</w:t>
      </w:r>
      <w:r w:rsidR="001F021B">
        <w:t xml:space="preserve"> élèves requérants n</w:t>
      </w:r>
      <w:r w:rsidR="00C419B2">
        <w:t>’</w:t>
      </w:r>
      <w:r w:rsidR="001F021B">
        <w:t>ont suivi aucune scolarité, soit parce qu</w:t>
      </w:r>
      <w:r w:rsidR="00C419B2">
        <w:t>’</w:t>
      </w:r>
      <w:r w:rsidR="001F021B">
        <w:t>ils n</w:t>
      </w:r>
      <w:r w:rsidR="00C419B2">
        <w:t>’</w:t>
      </w:r>
      <w:r w:rsidR="00406DEB">
        <w:t>auraient</w:t>
      </w:r>
      <w:r w:rsidR="001F021B">
        <w:t xml:space="preserve"> pas </w:t>
      </w:r>
      <w:r w:rsidR="00406DEB">
        <w:t xml:space="preserve">été </w:t>
      </w:r>
      <w:r w:rsidR="001F021B">
        <w:t>inscrits à l</w:t>
      </w:r>
      <w:r w:rsidR="00C419B2">
        <w:t>’</w:t>
      </w:r>
      <w:r w:rsidR="001F021B">
        <w:t>école, soit parce qu</w:t>
      </w:r>
      <w:r w:rsidR="00406DEB">
        <w:t xml:space="preserve">e, </w:t>
      </w:r>
      <w:r w:rsidR="001F021B">
        <w:t xml:space="preserve">en dépit de leur inscription, ils </w:t>
      </w:r>
      <w:r w:rsidR="00406DEB">
        <w:t>auraient</w:t>
      </w:r>
      <w:r w:rsidR="001F021B">
        <w:t xml:space="preserve"> cessé les cours</w:t>
      </w:r>
      <w:r w:rsidR="003442A8">
        <w:t xml:space="preserve"> et qu</w:t>
      </w:r>
      <w:r w:rsidR="00C419B2">
        <w:t>’</w:t>
      </w:r>
      <w:r w:rsidR="003442A8">
        <w:t>i</w:t>
      </w:r>
      <w:r w:rsidR="001F021B">
        <w:t xml:space="preserve">ls ne </w:t>
      </w:r>
      <w:r w:rsidR="003442A8">
        <w:t>seraient</w:t>
      </w:r>
      <w:r w:rsidR="00406DEB">
        <w:t xml:space="preserve"> </w:t>
      </w:r>
      <w:r w:rsidR="001F021B">
        <w:t xml:space="preserve">donc pas </w:t>
      </w:r>
      <w:r w:rsidR="003442A8">
        <w:t xml:space="preserve">en mesure de </w:t>
      </w:r>
      <w:r w:rsidR="001F021B">
        <w:t>se plaindre de mauvaises conditions d</w:t>
      </w:r>
      <w:r w:rsidR="00C419B2">
        <w:t>’</w:t>
      </w:r>
      <w:r w:rsidR="001F021B">
        <w:t>une scolarité qu</w:t>
      </w:r>
      <w:r w:rsidR="00C419B2">
        <w:t>’</w:t>
      </w:r>
      <w:r w:rsidR="001F021B">
        <w:t>ils n</w:t>
      </w:r>
      <w:r w:rsidR="00C419B2">
        <w:t>’</w:t>
      </w:r>
      <w:r w:rsidR="00406DEB">
        <w:t>auraient</w:t>
      </w:r>
      <w:r w:rsidR="001F021B">
        <w:t xml:space="preserve"> jamais </w:t>
      </w:r>
      <w:r w:rsidR="003442A8">
        <w:t>suivie</w:t>
      </w:r>
      <w:r w:rsidR="001F021B">
        <w:t>.</w:t>
      </w:r>
    </w:p>
    <w:p w:rsidR="00A64796" w:rsidRDefault="00970717">
      <w:pPr>
        <w:pStyle w:val="JuPara"/>
      </w:pPr>
      <w:r w:rsidRPr="00A93E17">
        <w:fldChar w:fldCharType="begin"/>
      </w:r>
      <w:r w:rsidRPr="00A93E17">
        <w:instrText xml:space="preserve"> SEQ level0 \*arabic </w:instrText>
      </w:r>
      <w:r w:rsidRPr="00A93E17">
        <w:fldChar w:fldCharType="separate"/>
      </w:r>
      <w:r w:rsidR="00E555B3">
        <w:rPr>
          <w:noProof/>
        </w:rPr>
        <w:t>51</w:t>
      </w:r>
      <w:r w:rsidRPr="00A93E17">
        <w:fldChar w:fldCharType="end"/>
      </w:r>
      <w:r w:rsidRPr="00A93E17">
        <w:t>.  </w:t>
      </w:r>
      <w:r w:rsidR="00A2488C" w:rsidRPr="00A93E17">
        <w:t>D</w:t>
      </w:r>
      <w:r w:rsidR="00C419B2">
        <w:t>’</w:t>
      </w:r>
      <w:r w:rsidR="00A2488C" w:rsidRPr="00A93E17">
        <w:t>autre part, le Gouvernement soutie</w:t>
      </w:r>
      <w:r w:rsidR="00CB71D8" w:rsidRPr="00A93E17">
        <w:t>nt que</w:t>
      </w:r>
      <w:r w:rsidR="00406DEB" w:rsidRPr="00A93E17">
        <w:t>,</w:t>
      </w:r>
      <w:r w:rsidR="00CB71D8" w:rsidRPr="00A93E17">
        <w:t xml:space="preserve"> dans la mesure où les 98 </w:t>
      </w:r>
      <w:r w:rsidR="00A2488C" w:rsidRPr="00A93E17">
        <w:t>élèves ont saisi la Cour, il n</w:t>
      </w:r>
      <w:r w:rsidR="00C419B2">
        <w:t>’</w:t>
      </w:r>
      <w:r w:rsidR="00A2488C" w:rsidRPr="00A93E17">
        <w:t>y avait pl</w:t>
      </w:r>
      <w:r w:rsidR="00CB71D8" w:rsidRPr="00A93E17">
        <w:t>us lieu pour les 42 </w:t>
      </w:r>
      <w:r w:rsidR="00352E03" w:rsidRPr="00A93E17">
        <w:t>adul</w:t>
      </w:r>
      <w:r w:rsidR="00CB71D8" w:rsidRPr="00A93E17">
        <w:t>t</w:t>
      </w:r>
      <w:r w:rsidR="00352E03" w:rsidRPr="00A93E17">
        <w:t>es exerç</w:t>
      </w:r>
      <w:r w:rsidR="00A2488C" w:rsidRPr="00A93E17">
        <w:t>ant l</w:t>
      </w:r>
      <w:r w:rsidR="00C419B2">
        <w:t>’</w:t>
      </w:r>
      <w:r w:rsidR="00352E03" w:rsidRPr="00A93E17">
        <w:t xml:space="preserve">autorité parentale </w:t>
      </w:r>
      <w:r w:rsidR="00A93E17" w:rsidRPr="00A93E17">
        <w:t xml:space="preserve">sur ces requérants </w:t>
      </w:r>
      <w:r w:rsidR="00352E03" w:rsidRPr="00A93E17">
        <w:t xml:space="preserve">de </w:t>
      </w:r>
      <w:r w:rsidR="00A93E17" w:rsidRPr="00A93E17">
        <w:t>saisir</w:t>
      </w:r>
      <w:r w:rsidR="00352E03" w:rsidRPr="00A93E17">
        <w:t xml:space="preserve"> </w:t>
      </w:r>
      <w:r w:rsidR="00406DEB" w:rsidRPr="00A93E17">
        <w:t>eux aussi</w:t>
      </w:r>
      <w:r w:rsidR="00352E03" w:rsidRPr="00A93E17">
        <w:t xml:space="preserve"> </w:t>
      </w:r>
      <w:r w:rsidR="00A93E17" w:rsidRPr="00A93E17">
        <w:t>la Cour</w:t>
      </w:r>
      <w:r w:rsidR="003758A8" w:rsidRPr="00A93E17">
        <w:t>.</w:t>
      </w:r>
    </w:p>
    <w:p w:rsidR="00A64796" w:rsidRDefault="00970717">
      <w:pPr>
        <w:pStyle w:val="JuPara"/>
      </w:pPr>
      <w:r>
        <w:fldChar w:fldCharType="begin"/>
      </w:r>
      <w:r>
        <w:instrText xml:space="preserve"> SEQ level0 \*arabic </w:instrText>
      </w:r>
      <w:r>
        <w:fldChar w:fldCharType="separate"/>
      </w:r>
      <w:r w:rsidR="00E555B3">
        <w:rPr>
          <w:noProof/>
        </w:rPr>
        <w:t>52</w:t>
      </w:r>
      <w:r>
        <w:fldChar w:fldCharType="end"/>
      </w:r>
      <w:r>
        <w:t>.  </w:t>
      </w:r>
      <w:r w:rsidR="009A4607">
        <w:t>Les requérants soutiennent que 98 d</w:t>
      </w:r>
      <w:r w:rsidR="00C419B2">
        <w:t>’</w:t>
      </w:r>
      <w:r w:rsidR="009A4607">
        <w:t>entre eux ont été privés d</w:t>
      </w:r>
      <w:r w:rsidR="00C419B2">
        <w:t>’</w:t>
      </w:r>
      <w:r w:rsidR="009A4607">
        <w:t>accès à un enseignement primaire en raison</w:t>
      </w:r>
      <w:r w:rsidR="00406DEB">
        <w:t xml:space="preserve"> </w:t>
      </w:r>
      <w:r w:rsidR="009A4607">
        <w:t>de la transformation de l</w:t>
      </w:r>
      <w:r w:rsidR="00C419B2">
        <w:t>’</w:t>
      </w:r>
      <w:r w:rsidR="009A4607">
        <w:t>annexe de la 10</w:t>
      </w:r>
      <w:r w:rsidR="009A4607" w:rsidRPr="009A4607">
        <w:rPr>
          <w:vertAlign w:val="superscript"/>
        </w:rPr>
        <w:t>e</w:t>
      </w:r>
      <w:r w:rsidR="009A4607">
        <w:t xml:space="preserve"> </w:t>
      </w:r>
      <w:r w:rsidR="00E03CF8">
        <w:t>école en</w:t>
      </w:r>
      <w:r w:rsidR="00406DEB">
        <w:t>, selon eux,</w:t>
      </w:r>
      <w:r w:rsidR="00E03CF8">
        <w:t xml:space="preserve"> une école ghetto, dévaluée, sous-équipée et manquant de personnel.</w:t>
      </w:r>
      <w:r w:rsidR="00E8773E">
        <w:t xml:space="preserve"> La question de savoir s</w:t>
      </w:r>
      <w:r w:rsidR="00C419B2">
        <w:t>’</w:t>
      </w:r>
      <w:r w:rsidR="00E8773E">
        <w:t xml:space="preserve">ils </w:t>
      </w:r>
      <w:r w:rsidR="00406DEB">
        <w:t>ont ou non</w:t>
      </w:r>
      <w:r w:rsidR="00E8773E">
        <w:t xml:space="preserve"> </w:t>
      </w:r>
      <w:r w:rsidR="00751CA7">
        <w:t>suivi les cours</w:t>
      </w:r>
      <w:r w:rsidR="00E8773E">
        <w:t xml:space="preserve"> n</w:t>
      </w:r>
      <w:r w:rsidR="00C419B2">
        <w:t>’</w:t>
      </w:r>
      <w:r w:rsidR="00E8773E">
        <w:t>a</w:t>
      </w:r>
      <w:r w:rsidR="00406DEB">
        <w:t>urait</w:t>
      </w:r>
      <w:r w:rsidR="00E8773E">
        <w:t xml:space="preserve"> pas </w:t>
      </w:r>
      <w:r w:rsidR="00751CA7">
        <w:t>d</w:t>
      </w:r>
      <w:r w:rsidR="00C419B2">
        <w:t>’</w:t>
      </w:r>
      <w:r w:rsidR="00751CA7">
        <w:t>importance car même ceux</w:t>
      </w:r>
      <w:r w:rsidR="00406DEB">
        <w:t xml:space="preserve"> d</w:t>
      </w:r>
      <w:r w:rsidR="00C419B2">
        <w:t>’</w:t>
      </w:r>
      <w:r w:rsidR="00406DEB">
        <w:t>entre eux</w:t>
      </w:r>
      <w:r w:rsidR="00751CA7">
        <w:t xml:space="preserve"> qui les</w:t>
      </w:r>
      <w:r w:rsidR="00E8773E">
        <w:t xml:space="preserve"> </w:t>
      </w:r>
      <w:r w:rsidR="00406DEB">
        <w:t>ont</w:t>
      </w:r>
      <w:r w:rsidR="00E8773E">
        <w:t xml:space="preserve"> </w:t>
      </w:r>
      <w:r w:rsidR="00751CA7">
        <w:t xml:space="preserve">suivis </w:t>
      </w:r>
      <w:r w:rsidR="00E8773E">
        <w:t>n</w:t>
      </w:r>
      <w:r w:rsidR="00C419B2">
        <w:t>’</w:t>
      </w:r>
      <w:r w:rsidR="00406DEB">
        <w:t>auraient</w:t>
      </w:r>
      <w:r w:rsidR="00E8773E">
        <w:t xml:space="preserve"> pas reçu un enseignement correspondant à celui d</w:t>
      </w:r>
      <w:r w:rsidR="00C419B2">
        <w:t>’</w:t>
      </w:r>
      <w:r w:rsidR="00E8773E">
        <w:t xml:space="preserve">une école </w:t>
      </w:r>
      <w:r w:rsidR="00356661">
        <w:t>ordinair</w:t>
      </w:r>
      <w:r w:rsidR="00E8773E">
        <w:t>e permettant aux élèves de passer d</w:t>
      </w:r>
      <w:r w:rsidR="00C419B2">
        <w:t>’</w:t>
      </w:r>
      <w:r w:rsidR="00E8773E">
        <w:t>une classe à l</w:t>
      </w:r>
      <w:r w:rsidR="00C419B2">
        <w:t>’</w:t>
      </w:r>
      <w:r w:rsidR="00E8773E">
        <w:t>autre.</w:t>
      </w:r>
    </w:p>
    <w:p w:rsidR="00E03CF8" w:rsidRDefault="00970717">
      <w:pPr>
        <w:pStyle w:val="JuPara"/>
      </w:pPr>
      <w:r>
        <w:fldChar w:fldCharType="begin"/>
      </w:r>
      <w:r>
        <w:instrText xml:space="preserve"> SEQ level0 \*arabic </w:instrText>
      </w:r>
      <w:r>
        <w:fldChar w:fldCharType="separate"/>
      </w:r>
      <w:r w:rsidR="00E555B3">
        <w:rPr>
          <w:noProof/>
        </w:rPr>
        <w:t>53</w:t>
      </w:r>
      <w:r>
        <w:fldChar w:fldCharType="end"/>
      </w:r>
      <w:r>
        <w:t>.  </w:t>
      </w:r>
      <w:r w:rsidR="00E03CF8">
        <w:t>La Cour</w:t>
      </w:r>
      <w:r w:rsidR="00A93E17">
        <w:t>,</w:t>
      </w:r>
      <w:r w:rsidR="00E03CF8">
        <w:t xml:space="preserve"> consid</w:t>
      </w:r>
      <w:r w:rsidR="00A93E17">
        <w:t>érant</w:t>
      </w:r>
      <w:r w:rsidR="00E03CF8">
        <w:t xml:space="preserve"> que </w:t>
      </w:r>
      <w:r w:rsidR="00891DD6">
        <w:t>l</w:t>
      </w:r>
      <w:r w:rsidR="00C419B2">
        <w:t>’</w:t>
      </w:r>
      <w:r w:rsidR="00891DD6">
        <w:t xml:space="preserve">objection </w:t>
      </w:r>
      <w:r w:rsidR="00E03CF8">
        <w:t xml:space="preserve">du Gouvernement </w:t>
      </w:r>
      <w:r w:rsidR="00891DD6">
        <w:t xml:space="preserve">est étroitement liée à la substance du grief énoncé par les requérants sur le terrain de </w:t>
      </w:r>
      <w:r w:rsidR="00425F61">
        <w:t>l</w:t>
      </w:r>
      <w:r w:rsidR="00C419B2">
        <w:t>’</w:t>
      </w:r>
      <w:r w:rsidR="00891DD6">
        <w:t xml:space="preserve">article 14 de la Convention et </w:t>
      </w:r>
      <w:r w:rsidR="00425F61">
        <w:t>de l</w:t>
      </w:r>
      <w:r w:rsidR="00C419B2">
        <w:t>’</w:t>
      </w:r>
      <w:r w:rsidR="00425F61">
        <w:t xml:space="preserve">article </w:t>
      </w:r>
      <w:r w:rsidR="00891DD6">
        <w:t>2 du Protocole n</w:t>
      </w:r>
      <w:r w:rsidR="009202F2" w:rsidRPr="009202F2">
        <w:rPr>
          <w:vertAlign w:val="superscript"/>
        </w:rPr>
        <w:t>o</w:t>
      </w:r>
      <w:r w:rsidR="00891DD6">
        <w:t xml:space="preserve"> 1</w:t>
      </w:r>
      <w:r w:rsidR="00A93E17">
        <w:t>,</w:t>
      </w:r>
      <w:r w:rsidR="00891DD6">
        <w:t xml:space="preserve"> décide de la joindre au fond.</w:t>
      </w:r>
    </w:p>
    <w:p w:rsidR="0082390B" w:rsidRDefault="00970717">
      <w:pPr>
        <w:pStyle w:val="JuPara"/>
      </w:pPr>
      <w:r>
        <w:fldChar w:fldCharType="begin"/>
      </w:r>
      <w:r>
        <w:instrText xml:space="preserve"> SEQ level0 \*arabic </w:instrText>
      </w:r>
      <w:r>
        <w:fldChar w:fldCharType="separate"/>
      </w:r>
      <w:r w:rsidR="00E555B3">
        <w:rPr>
          <w:noProof/>
        </w:rPr>
        <w:t>54</w:t>
      </w:r>
      <w:r>
        <w:fldChar w:fldCharType="end"/>
      </w:r>
      <w:r>
        <w:t>.  </w:t>
      </w:r>
      <w:r w:rsidR="0082390B">
        <w:t>Quant à la distinction faite par le Gouvernement entre requérants mineurs et requérants adultes, la Cour la considère comme non pertinente</w:t>
      </w:r>
      <w:r w:rsidR="00425F61">
        <w:t xml:space="preserve"> en l</w:t>
      </w:r>
      <w:r w:rsidR="00C419B2">
        <w:t>’</w:t>
      </w:r>
      <w:r w:rsidR="00425F61">
        <w:t>espèce</w:t>
      </w:r>
      <w:r w:rsidR="0082390B">
        <w:t xml:space="preserve">. En effet, </w:t>
      </w:r>
      <w:r w:rsidR="00A93E17">
        <w:t>elle</w:t>
      </w:r>
      <w:r w:rsidR="00772280">
        <w:t xml:space="preserve"> a reconnu la qualité de « victime » tant à des requérants mineurs</w:t>
      </w:r>
      <w:r w:rsidR="005364CE">
        <w:t xml:space="preserve"> </w:t>
      </w:r>
      <w:r w:rsidR="00425F61">
        <w:t xml:space="preserve">placés </w:t>
      </w:r>
      <w:r w:rsidR="005364CE">
        <w:t>dans des situations similaires à celles des requérants de l</w:t>
      </w:r>
      <w:r w:rsidR="00C419B2">
        <w:t>’</w:t>
      </w:r>
      <w:r w:rsidR="005364CE">
        <w:t>espèce,</w:t>
      </w:r>
      <w:r w:rsidR="00772280">
        <w:t xml:space="preserve"> </w:t>
      </w:r>
      <w:r w:rsidR="0082390B">
        <w:t xml:space="preserve">dans les </w:t>
      </w:r>
      <w:r w:rsidR="00772280">
        <w:t xml:space="preserve">arrêts </w:t>
      </w:r>
      <w:r w:rsidR="0082390B" w:rsidRPr="00772280">
        <w:rPr>
          <w:rStyle w:val="s6b621b36"/>
          <w:i/>
        </w:rPr>
        <w:t>D.H. et autres c. République tchèque</w:t>
      </w:r>
      <w:r w:rsidR="0082390B">
        <w:rPr>
          <w:rStyle w:val="s6b621b36"/>
        </w:rPr>
        <w:t xml:space="preserve"> </w:t>
      </w:r>
      <w:r w:rsidR="0082390B">
        <w:rPr>
          <w:rStyle w:val="sb8d990e2"/>
        </w:rPr>
        <w:t>([GC], n</w:t>
      </w:r>
      <w:r w:rsidR="0082390B" w:rsidRPr="00425F61">
        <w:rPr>
          <w:rStyle w:val="sea881cdf"/>
          <w:vertAlign w:val="superscript"/>
        </w:rPr>
        <w:t>o</w:t>
      </w:r>
      <w:r w:rsidR="0082390B">
        <w:rPr>
          <w:rStyle w:val="sb8d990e2"/>
        </w:rPr>
        <w:t> 57325/00, CEDH 2</w:t>
      </w:r>
      <w:r w:rsidR="00772280">
        <w:rPr>
          <w:rStyle w:val="sb8d990e2"/>
        </w:rPr>
        <w:t>007-XII</w:t>
      </w:r>
      <w:r w:rsidR="00A93E17">
        <w:rPr>
          <w:rStyle w:val="sb8d990e2"/>
        </w:rPr>
        <w:t>)</w:t>
      </w:r>
      <w:r w:rsidR="00425F61">
        <w:rPr>
          <w:rStyle w:val="sb8d990e2"/>
        </w:rPr>
        <w:t>,</w:t>
      </w:r>
      <w:r w:rsidR="00772280">
        <w:rPr>
          <w:rStyle w:val="sb8d990e2"/>
        </w:rPr>
        <w:t xml:space="preserve"> et</w:t>
      </w:r>
      <w:r w:rsidR="0082390B">
        <w:t xml:space="preserve"> </w:t>
      </w:r>
      <w:r w:rsidR="0082390B" w:rsidRPr="00772280">
        <w:rPr>
          <w:rStyle w:val="s7d2086b4"/>
          <w:i/>
        </w:rPr>
        <w:t>Oršuš et autres c. Croatie</w:t>
      </w:r>
      <w:r w:rsidR="00772280">
        <w:rPr>
          <w:rStyle w:val="s7d2086b4"/>
        </w:rPr>
        <w:t xml:space="preserve"> ([GC], n</w:t>
      </w:r>
      <w:r w:rsidR="009202F2" w:rsidRPr="009202F2">
        <w:rPr>
          <w:rStyle w:val="s7d2086b4"/>
          <w:vertAlign w:val="superscript"/>
        </w:rPr>
        <w:t>o</w:t>
      </w:r>
      <w:r w:rsidR="00772280">
        <w:rPr>
          <w:rStyle w:val="s7d2086b4"/>
        </w:rPr>
        <w:t xml:space="preserve"> 15766/03, 16 mars 2010), qu</w:t>
      </w:r>
      <w:r w:rsidR="00C419B2">
        <w:rPr>
          <w:rStyle w:val="s7d2086b4"/>
        </w:rPr>
        <w:t>’</w:t>
      </w:r>
      <w:r w:rsidR="005364CE">
        <w:rPr>
          <w:rStyle w:val="s7d2086b4"/>
        </w:rPr>
        <w:t>à des requérants adultes, parents de</w:t>
      </w:r>
      <w:r w:rsidR="009D6DA7">
        <w:rPr>
          <w:rStyle w:val="s7d2086b4"/>
        </w:rPr>
        <w:t xml:space="preserve"> ces</w:t>
      </w:r>
      <w:r w:rsidR="005364CE">
        <w:rPr>
          <w:rStyle w:val="s7d2086b4"/>
        </w:rPr>
        <w:t xml:space="preserve"> élèves</w:t>
      </w:r>
      <w:r w:rsidR="00A93E17">
        <w:rPr>
          <w:rStyle w:val="s7d2086b4"/>
        </w:rPr>
        <w:t xml:space="preserve"> mineurs</w:t>
      </w:r>
      <w:r w:rsidR="005364CE">
        <w:rPr>
          <w:rStyle w:val="s7d2086b4"/>
        </w:rPr>
        <w:t xml:space="preserve"> (</w:t>
      </w:r>
      <w:r w:rsidR="005364CE" w:rsidRPr="005364CE">
        <w:rPr>
          <w:rStyle w:val="s6b621b36"/>
          <w:i/>
        </w:rPr>
        <w:t>Sampanis et autres</w:t>
      </w:r>
      <w:r w:rsidR="005364CE">
        <w:rPr>
          <w:rStyle w:val="s6b621b36"/>
        </w:rPr>
        <w:t>, précité)</w:t>
      </w:r>
      <w:r w:rsidR="005364CE">
        <w:rPr>
          <w:rStyle w:val="sb8d990e2"/>
        </w:rPr>
        <w:t>.</w:t>
      </w:r>
    </w:p>
    <w:p w:rsidR="003C7F72" w:rsidRDefault="003C7F72" w:rsidP="003C7F72">
      <w:pPr>
        <w:pStyle w:val="JuH1"/>
      </w:pPr>
      <w:r>
        <w:t>3.  Non-épuisement des voies de recours internes</w:t>
      </w:r>
    </w:p>
    <w:p w:rsidR="00B136CA" w:rsidRDefault="00970717">
      <w:pPr>
        <w:pStyle w:val="JuPara"/>
      </w:pPr>
      <w:r>
        <w:fldChar w:fldCharType="begin"/>
      </w:r>
      <w:r>
        <w:instrText xml:space="preserve"> SEQ level0 \*arabic </w:instrText>
      </w:r>
      <w:r>
        <w:fldChar w:fldCharType="separate"/>
      </w:r>
      <w:r w:rsidR="00E555B3">
        <w:rPr>
          <w:noProof/>
        </w:rPr>
        <w:t>55</w:t>
      </w:r>
      <w:r>
        <w:fldChar w:fldCharType="end"/>
      </w:r>
      <w:r>
        <w:t>.  </w:t>
      </w:r>
      <w:r w:rsidR="003C7F72">
        <w:t xml:space="preserve">Le Gouvernement </w:t>
      </w:r>
      <w:r w:rsidR="00352E03">
        <w:t xml:space="preserve">excipe aussi du non-épuisement des voies de recours internes par les requérants. Il </w:t>
      </w:r>
      <w:r w:rsidR="0057701E">
        <w:t xml:space="preserve">affirme </w:t>
      </w:r>
      <w:r w:rsidR="00352E03">
        <w:t>que les trois actes ayant fixé la situation dont se plaignent les requérants</w:t>
      </w:r>
      <w:r w:rsidR="0098040D">
        <w:t>, à savoir</w:t>
      </w:r>
      <w:r w:rsidR="00464187">
        <w:t>,</w:t>
      </w:r>
      <w:r w:rsidR="0098040D">
        <w:t xml:space="preserve"> la décision des ministres de l</w:t>
      </w:r>
      <w:r w:rsidR="00C419B2">
        <w:t>’</w:t>
      </w:r>
      <w:r w:rsidR="0098040D">
        <w:t>Education et des Finances</w:t>
      </w:r>
      <w:r w:rsidR="005F58D9">
        <w:t>, du 25 janvier 2008,</w:t>
      </w:r>
      <w:r w:rsidR="0098040D">
        <w:t xml:space="preserve"> créant la 12</w:t>
      </w:r>
      <w:r w:rsidR="0098040D" w:rsidRPr="0098040D">
        <w:rPr>
          <w:vertAlign w:val="superscript"/>
        </w:rPr>
        <w:t>e</w:t>
      </w:r>
      <w:r w:rsidR="0098040D">
        <w:t xml:space="preserve"> école</w:t>
      </w:r>
      <w:r w:rsidR="005F58D9">
        <w:t>,</w:t>
      </w:r>
      <w:r w:rsidR="00464187">
        <w:t xml:space="preserve"> </w:t>
      </w:r>
      <w:r w:rsidR="0098040D">
        <w:t xml:space="preserve">la décision du chef du </w:t>
      </w:r>
      <w:r w:rsidR="00A93E17">
        <w:t>d</w:t>
      </w:r>
      <w:r w:rsidR="0098040D">
        <w:t>épartement régional de l</w:t>
      </w:r>
      <w:r w:rsidR="00C419B2">
        <w:t>’</w:t>
      </w:r>
      <w:r w:rsidR="0098040D">
        <w:t>éducation</w:t>
      </w:r>
      <w:r w:rsidR="00352E03">
        <w:t xml:space="preserve"> </w:t>
      </w:r>
      <w:r w:rsidR="0098040D">
        <w:t>définissant l</w:t>
      </w:r>
      <w:r w:rsidR="00935FBB">
        <w:t>a zone de recrutement</w:t>
      </w:r>
      <w:r w:rsidR="0098040D">
        <w:t xml:space="preserve"> de cette école</w:t>
      </w:r>
      <w:r w:rsidR="005F58D9">
        <w:t>, du 8 avril 2008</w:t>
      </w:r>
      <w:r w:rsidR="0098040D">
        <w:t>,</w:t>
      </w:r>
      <w:r w:rsidR="005F58D9">
        <w:t xml:space="preserve"> et l</w:t>
      </w:r>
      <w:r w:rsidR="00C419B2">
        <w:t>’</w:t>
      </w:r>
      <w:r w:rsidR="00AA7FB5">
        <w:t>arrêté préfectoral du 24 </w:t>
      </w:r>
      <w:r w:rsidR="005F58D9">
        <w:t>juin 2008 ayant permis l</w:t>
      </w:r>
      <w:r w:rsidR="00C419B2">
        <w:t>’</w:t>
      </w:r>
      <w:r w:rsidR="005F58D9">
        <w:t>installation provisoire de la 12</w:t>
      </w:r>
      <w:r w:rsidR="005F58D9" w:rsidRPr="00464187">
        <w:rPr>
          <w:vertAlign w:val="superscript"/>
        </w:rPr>
        <w:t>e</w:t>
      </w:r>
      <w:r w:rsidR="005F58D9">
        <w:t xml:space="preserve"> école dans l</w:t>
      </w:r>
      <w:r w:rsidR="00C419B2">
        <w:t>’</w:t>
      </w:r>
      <w:r w:rsidR="005F58D9">
        <w:t>annexe préfabriquée de la 10</w:t>
      </w:r>
      <w:r w:rsidR="005F58D9" w:rsidRPr="00464187">
        <w:rPr>
          <w:vertAlign w:val="superscript"/>
        </w:rPr>
        <w:t>e</w:t>
      </w:r>
      <w:r w:rsidR="005F58D9">
        <w:t xml:space="preserve"> école,</w:t>
      </w:r>
      <w:r w:rsidR="0098040D">
        <w:t xml:space="preserve"> </w:t>
      </w:r>
      <w:r w:rsidR="00352E03">
        <w:t xml:space="preserve">constituaient des actes administratifs exécutoires susceptibles </w:t>
      </w:r>
      <w:r w:rsidR="004C658C">
        <w:t>de faire l</w:t>
      </w:r>
      <w:r w:rsidR="00C419B2">
        <w:t>’</w:t>
      </w:r>
      <w:r w:rsidR="004C658C">
        <w:t>objet d</w:t>
      </w:r>
      <w:r w:rsidR="00C419B2">
        <w:t>’</w:t>
      </w:r>
      <w:r w:rsidR="004C658C">
        <w:t xml:space="preserve">un recours en annulation </w:t>
      </w:r>
      <w:r w:rsidR="00352E03">
        <w:t>devant le Conseil d</w:t>
      </w:r>
      <w:r w:rsidR="00C419B2">
        <w:t>’</w:t>
      </w:r>
      <w:r w:rsidR="00352E03">
        <w:t>Etat, en application des articles 45 et 48 du décret n</w:t>
      </w:r>
      <w:r w:rsidR="009202F2" w:rsidRPr="009202F2">
        <w:rPr>
          <w:vertAlign w:val="superscript"/>
        </w:rPr>
        <w:t>o</w:t>
      </w:r>
      <w:r w:rsidR="00352E03">
        <w:t xml:space="preserve"> 18/1989.</w:t>
      </w:r>
    </w:p>
    <w:p w:rsidR="003F32BA" w:rsidRDefault="00970717">
      <w:pPr>
        <w:pStyle w:val="JuPara"/>
      </w:pPr>
      <w:r>
        <w:fldChar w:fldCharType="begin"/>
      </w:r>
      <w:r>
        <w:instrText xml:space="preserve"> SEQ level0 \*arabic </w:instrText>
      </w:r>
      <w:r>
        <w:fldChar w:fldCharType="separate"/>
      </w:r>
      <w:r w:rsidR="00E555B3">
        <w:rPr>
          <w:noProof/>
        </w:rPr>
        <w:t>56</w:t>
      </w:r>
      <w:r>
        <w:fldChar w:fldCharType="end"/>
      </w:r>
      <w:r>
        <w:t>.  </w:t>
      </w:r>
      <w:r w:rsidR="00464187">
        <w:t>Le Gouvernement soutient aussi que l</w:t>
      </w:r>
      <w:r w:rsidR="00206499">
        <w:t xml:space="preserve">es démarches </w:t>
      </w:r>
      <w:r w:rsidR="00A93E17">
        <w:t>effectuées par le</w:t>
      </w:r>
      <w:r w:rsidR="00206499">
        <w:t xml:space="preserve"> représentant des requérants</w:t>
      </w:r>
      <w:r w:rsidR="00A93E17">
        <w:t>,</w:t>
      </w:r>
      <w:r w:rsidR="00A93E17" w:rsidRPr="00A93E17">
        <w:t xml:space="preserve"> </w:t>
      </w:r>
      <w:r w:rsidR="00A93E17">
        <w:t>en sa qualité de dirigeant du Greek Helsinki Monitor,</w:t>
      </w:r>
      <w:r w:rsidR="00206499">
        <w:t xml:space="preserve"> </w:t>
      </w:r>
      <w:r w:rsidR="00A93E17">
        <w:t>auprès du ministère de l</w:t>
      </w:r>
      <w:r w:rsidR="00C419B2">
        <w:t>’</w:t>
      </w:r>
      <w:r w:rsidR="00A93E17">
        <w:t xml:space="preserve">Education et auprès du médiateur </w:t>
      </w:r>
      <w:r w:rsidR="00206499">
        <w:t>ne pouvaient pas se substituer aux recours contentieux prévus par l</w:t>
      </w:r>
      <w:r w:rsidR="00C419B2">
        <w:t>’</w:t>
      </w:r>
      <w:r w:rsidR="00206499">
        <w:t>ordre juridique interne.</w:t>
      </w:r>
      <w:r w:rsidR="00E168EF">
        <w:t xml:space="preserve"> En outre, </w:t>
      </w:r>
      <w:r w:rsidR="00BB72E4">
        <w:t>il affirme</w:t>
      </w:r>
      <w:r w:rsidR="00E168EF">
        <w:t xml:space="preserve"> que le représentant des requérants a sciemment évité de saisir les juridictions internes : il en veut pour preuve une lettre que ce représentant a</w:t>
      </w:r>
      <w:r w:rsidR="00BB72E4">
        <w:t>ur</w:t>
      </w:r>
      <w:r w:rsidR="00E168EF">
        <w:t>ait adressé</w:t>
      </w:r>
      <w:r w:rsidR="00BB72E4">
        <w:t>e</w:t>
      </w:r>
      <w:r w:rsidR="00E168EF">
        <w:t xml:space="preserve"> au directeur de la 12</w:t>
      </w:r>
      <w:r w:rsidR="00E168EF" w:rsidRPr="00E168EF">
        <w:rPr>
          <w:vertAlign w:val="superscript"/>
        </w:rPr>
        <w:t>e</w:t>
      </w:r>
      <w:r w:rsidR="00E168EF">
        <w:t xml:space="preserve"> école</w:t>
      </w:r>
      <w:r w:rsidR="00A93E17">
        <w:t>,</w:t>
      </w:r>
      <w:r w:rsidR="00E168EF">
        <w:t xml:space="preserve"> demandant de lui faire connaître </w:t>
      </w:r>
      <w:r w:rsidR="00D42250">
        <w:t>la zone de recrutement</w:t>
      </w:r>
      <w:r w:rsidR="00E168EF">
        <w:t xml:space="preserve"> de cette école « dans la perspective de nouvelles démarches judiciaires ». Or,</w:t>
      </w:r>
      <w:r w:rsidR="00BB72E4">
        <w:t xml:space="preserve"> selon le Gouvernement,</w:t>
      </w:r>
      <w:r w:rsidR="00E168EF">
        <w:t xml:space="preserve"> </w:t>
      </w:r>
      <w:r w:rsidR="00A93E17">
        <w:t>de telles</w:t>
      </w:r>
      <w:r w:rsidR="00E168EF">
        <w:t xml:space="preserve"> démarches n</w:t>
      </w:r>
      <w:r w:rsidR="00C419B2">
        <w:t>’</w:t>
      </w:r>
      <w:r w:rsidR="00E168EF">
        <w:t>ont jamais été entreprises.</w:t>
      </w:r>
    </w:p>
    <w:p w:rsidR="00B136CA" w:rsidRDefault="00970717">
      <w:pPr>
        <w:pStyle w:val="JuPara"/>
      </w:pPr>
      <w:r>
        <w:fldChar w:fldCharType="begin"/>
      </w:r>
      <w:r>
        <w:instrText xml:space="preserve"> SEQ level0 \*arabic </w:instrText>
      </w:r>
      <w:r>
        <w:fldChar w:fldCharType="separate"/>
      </w:r>
      <w:r w:rsidR="00E555B3">
        <w:rPr>
          <w:noProof/>
        </w:rPr>
        <w:t>57</w:t>
      </w:r>
      <w:r>
        <w:fldChar w:fldCharType="end"/>
      </w:r>
      <w:r>
        <w:t>.  </w:t>
      </w:r>
      <w:r w:rsidR="00694DCE">
        <w:t>Les requérants</w:t>
      </w:r>
      <w:r w:rsidR="0040708D">
        <w:t xml:space="preserve"> </w:t>
      </w:r>
      <w:r w:rsidR="007A4C9A">
        <w:t>indiquent</w:t>
      </w:r>
      <w:r w:rsidR="0040708D">
        <w:t xml:space="preserve"> qu</w:t>
      </w:r>
      <w:r w:rsidR="00C419B2">
        <w:t>’</w:t>
      </w:r>
      <w:r w:rsidR="0040708D">
        <w:t xml:space="preserve">ils ont utilisé deux voies de recours internes </w:t>
      </w:r>
      <w:r w:rsidR="007A4C9A">
        <w:t>susceptibles d</w:t>
      </w:r>
      <w:r w:rsidR="00C419B2">
        <w:t>’</w:t>
      </w:r>
      <w:r w:rsidR="00D03925">
        <w:t>avoir un effet sur la question de l</w:t>
      </w:r>
      <w:r w:rsidR="00A93E17">
        <w:t>a</w:t>
      </w:r>
      <w:r w:rsidR="0040708D">
        <w:t xml:space="preserve"> ségrégation en matière d</w:t>
      </w:r>
      <w:r w:rsidR="00C419B2">
        <w:t>’</w:t>
      </w:r>
      <w:r w:rsidR="0040708D">
        <w:t>éducation</w:t>
      </w:r>
      <w:r w:rsidR="00A93E17">
        <w:t xml:space="preserve"> dont ils s</w:t>
      </w:r>
      <w:r w:rsidR="00C419B2">
        <w:t>’</w:t>
      </w:r>
      <w:r w:rsidR="00A93E17">
        <w:t>estiment victimes</w:t>
      </w:r>
      <w:r w:rsidR="0040708D">
        <w:t xml:space="preserve"> : la saisine du médiateur et </w:t>
      </w:r>
      <w:r w:rsidR="0040708D" w:rsidRPr="00A93E17">
        <w:t>la plainte avec constitution de partie civile</w:t>
      </w:r>
      <w:r w:rsidR="00D03925" w:rsidRPr="00A93E17">
        <w:t xml:space="preserve"> contre les directeurs des deux écoles</w:t>
      </w:r>
      <w:r w:rsidR="0040708D" w:rsidRPr="00A93E17">
        <w:t>.</w:t>
      </w:r>
      <w:r w:rsidR="004E519E" w:rsidRPr="00A93E17">
        <w:t xml:space="preserve"> </w:t>
      </w:r>
      <w:r w:rsidR="007A4C9A" w:rsidRPr="00A93E17">
        <w:t>Ils ajoutent que</w:t>
      </w:r>
      <w:r w:rsidR="00D03925" w:rsidRPr="00A93E17">
        <w:t xml:space="preserve"> l</w:t>
      </w:r>
      <w:r w:rsidR="00C419B2">
        <w:t>’</w:t>
      </w:r>
      <w:r w:rsidR="00D03925" w:rsidRPr="00A93E17">
        <w:t xml:space="preserve">examen de la plainte est </w:t>
      </w:r>
      <w:r w:rsidR="007A4C9A" w:rsidRPr="00A93E17">
        <w:t>toujours</w:t>
      </w:r>
      <w:r w:rsidR="00D03925" w:rsidRPr="00A93E17">
        <w:t xml:space="preserve"> pendante, deux ans après son introduction, ce qui démontre</w:t>
      </w:r>
      <w:r w:rsidR="007A4C9A" w:rsidRPr="00A93E17">
        <w:t>rait</w:t>
      </w:r>
      <w:r w:rsidR="00D03925" w:rsidRPr="00A93E17">
        <w:t xml:space="preserve"> qu</w:t>
      </w:r>
      <w:r w:rsidR="00C419B2">
        <w:t>’</w:t>
      </w:r>
      <w:r w:rsidR="00D03925" w:rsidRPr="00A93E17">
        <w:t>elle n</w:t>
      </w:r>
      <w:r w:rsidR="00C419B2">
        <w:t>’</w:t>
      </w:r>
      <w:r w:rsidR="00D03925" w:rsidRPr="00A93E17">
        <w:t xml:space="preserve">a aucune effectivité. </w:t>
      </w:r>
      <w:r w:rsidR="007A4C9A" w:rsidRPr="00A93E17">
        <w:t>Enfin, selon les requérants, s</w:t>
      </w:r>
      <w:r w:rsidR="00C419B2">
        <w:t>’</w:t>
      </w:r>
      <w:r w:rsidR="007A4C9A" w:rsidRPr="00A93E17">
        <w:t>agissant du</w:t>
      </w:r>
      <w:r w:rsidR="00D03925" w:rsidRPr="00A93E17">
        <w:t xml:space="preserve"> recours devant le Conseil d</w:t>
      </w:r>
      <w:r w:rsidR="00C419B2">
        <w:t>’</w:t>
      </w:r>
      <w:r w:rsidR="00D03925" w:rsidRPr="00A93E17">
        <w:t xml:space="preserve">Etat, préconisé par le Gouvernement, une décision prise par cette </w:t>
      </w:r>
      <w:r w:rsidR="00D75858" w:rsidRPr="00A93E17">
        <w:t>juridiction, après une procédure très longue, pourrait seulement annuler la</w:t>
      </w:r>
      <w:r w:rsidR="00D75858">
        <w:t xml:space="preserve"> création de la 12</w:t>
      </w:r>
      <w:r w:rsidR="00D75858" w:rsidRPr="00D75858">
        <w:rPr>
          <w:vertAlign w:val="superscript"/>
        </w:rPr>
        <w:t>e</w:t>
      </w:r>
      <w:r w:rsidR="00D75858">
        <w:t xml:space="preserve"> école mais </w:t>
      </w:r>
      <w:r w:rsidR="007A4C9A">
        <w:t xml:space="preserve">non </w:t>
      </w:r>
      <w:r w:rsidR="00D75858">
        <w:t>pas forcer l</w:t>
      </w:r>
      <w:r w:rsidR="00C419B2">
        <w:t>’</w:t>
      </w:r>
      <w:r w:rsidR="00D75858">
        <w:t>Etat à inscrire les élèves roms à la 10</w:t>
      </w:r>
      <w:r w:rsidR="00D75858" w:rsidRPr="00D75858">
        <w:rPr>
          <w:vertAlign w:val="superscript"/>
        </w:rPr>
        <w:t>e</w:t>
      </w:r>
      <w:r w:rsidR="00D75858">
        <w:t xml:space="preserve"> école ou l</w:t>
      </w:r>
      <w:r w:rsidR="00C419B2">
        <w:t>’</w:t>
      </w:r>
      <w:r w:rsidR="00D75858">
        <w:t>empêcher de rebaptiser la 12</w:t>
      </w:r>
      <w:r w:rsidR="00D75858" w:rsidRPr="00D75858">
        <w:rPr>
          <w:vertAlign w:val="superscript"/>
        </w:rPr>
        <w:t>e</w:t>
      </w:r>
      <w:r w:rsidR="00D75858">
        <w:t xml:space="preserve"> en annexe de la 10</w:t>
      </w:r>
      <w:r w:rsidR="00D75858" w:rsidRPr="00D75858">
        <w:rPr>
          <w:vertAlign w:val="superscript"/>
        </w:rPr>
        <w:t>e</w:t>
      </w:r>
      <w:r w:rsidR="00D75858">
        <w:t>.</w:t>
      </w:r>
    </w:p>
    <w:p w:rsidR="00352E03" w:rsidRDefault="00970717" w:rsidP="00061B3D">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58</w:t>
      </w:r>
      <w:r>
        <w:rPr>
          <w:rStyle w:val="sb8d990e2"/>
        </w:rPr>
        <w:fldChar w:fldCharType="end"/>
      </w:r>
      <w:r>
        <w:rPr>
          <w:rStyle w:val="sb8d990e2"/>
        </w:rPr>
        <w:t>.  L</w:t>
      </w:r>
      <w:r w:rsidR="00694DCE">
        <w:rPr>
          <w:rStyle w:val="sb8d990e2"/>
        </w:rPr>
        <w:t>a Cour rappelle que la règle de l</w:t>
      </w:r>
      <w:r w:rsidR="00C419B2">
        <w:rPr>
          <w:rStyle w:val="sb8d990e2"/>
        </w:rPr>
        <w:t>’</w:t>
      </w:r>
      <w:r w:rsidR="00694DCE">
        <w:rPr>
          <w:rStyle w:val="sb8d990e2"/>
        </w:rPr>
        <w:t>épuisement des voies de recours internes, énoncée à l</w:t>
      </w:r>
      <w:r w:rsidR="00C419B2">
        <w:rPr>
          <w:rStyle w:val="sb8d990e2"/>
        </w:rPr>
        <w:t>’</w:t>
      </w:r>
      <w:r w:rsidR="00694DCE">
        <w:rPr>
          <w:rStyle w:val="sb8d990e2"/>
        </w:rPr>
        <w:t>article 35 § 1 de la Convention, se fonde sur l</w:t>
      </w:r>
      <w:r w:rsidR="00C419B2">
        <w:rPr>
          <w:rStyle w:val="sb8d990e2"/>
        </w:rPr>
        <w:t>’</w:t>
      </w:r>
      <w:r w:rsidR="00694DCE">
        <w:rPr>
          <w:rStyle w:val="sb8d990e2"/>
        </w:rPr>
        <w:t>hypothèse, incorporée dans l</w:t>
      </w:r>
      <w:r w:rsidR="00C419B2">
        <w:rPr>
          <w:rStyle w:val="sb8d990e2"/>
        </w:rPr>
        <w:t>’</w:t>
      </w:r>
      <w:r w:rsidR="00694DCE">
        <w:rPr>
          <w:rStyle w:val="sb8d990e2"/>
        </w:rPr>
        <w:t>article 13</w:t>
      </w:r>
      <w:r w:rsidR="00061B3D">
        <w:rPr>
          <w:rStyle w:val="sb8d990e2"/>
        </w:rPr>
        <w:t xml:space="preserve"> (</w:t>
      </w:r>
      <w:r w:rsidR="00694DCE">
        <w:rPr>
          <w:rStyle w:val="sb8d990e2"/>
        </w:rPr>
        <w:t>avec lequel elle présente d</w:t>
      </w:r>
      <w:r w:rsidR="00C419B2">
        <w:rPr>
          <w:rStyle w:val="sb8d990e2"/>
        </w:rPr>
        <w:t>’</w:t>
      </w:r>
      <w:r w:rsidR="00694DCE">
        <w:rPr>
          <w:rStyle w:val="sb8d990e2"/>
        </w:rPr>
        <w:t>étroites affinités</w:t>
      </w:r>
      <w:r w:rsidR="00061B3D">
        <w:rPr>
          <w:rStyle w:val="sb8d990e2"/>
        </w:rPr>
        <w:t>),</w:t>
      </w:r>
      <w:r w:rsidR="00694DCE">
        <w:rPr>
          <w:rStyle w:val="sb8d990e2"/>
        </w:rPr>
        <w:t xml:space="preserve"> que l</w:t>
      </w:r>
      <w:r w:rsidR="00C419B2">
        <w:rPr>
          <w:rStyle w:val="sb8d990e2"/>
        </w:rPr>
        <w:t>’</w:t>
      </w:r>
      <w:r w:rsidR="00694DCE">
        <w:rPr>
          <w:rStyle w:val="sb8d990e2"/>
        </w:rPr>
        <w:t>ordre interne offre un recours effectif, en pratique comme en droit</w:t>
      </w:r>
      <w:r w:rsidR="00250114">
        <w:rPr>
          <w:rStyle w:val="sb8d990e2"/>
        </w:rPr>
        <w:t>,</w:t>
      </w:r>
      <w:r w:rsidR="00694DCE">
        <w:rPr>
          <w:rStyle w:val="sb8d990e2"/>
        </w:rPr>
        <w:t xml:space="preserve"> quant à la violation alléguée</w:t>
      </w:r>
      <w:r w:rsidR="00694DCE">
        <w:rPr>
          <w:rStyle w:val="s6b621b36"/>
        </w:rPr>
        <w:t xml:space="preserve"> </w:t>
      </w:r>
      <w:r w:rsidR="00694DCE">
        <w:rPr>
          <w:rStyle w:val="sb8d990e2"/>
        </w:rPr>
        <w:t>(</w:t>
      </w:r>
      <w:r w:rsidR="00694DCE" w:rsidRPr="00694DCE">
        <w:rPr>
          <w:rStyle w:val="s6b621b36"/>
          <w:i/>
        </w:rPr>
        <w:t>Kudła c. Pologne</w:t>
      </w:r>
      <w:r w:rsidR="00694DCE">
        <w:rPr>
          <w:rStyle w:val="sb8d990e2"/>
        </w:rPr>
        <w:t xml:space="preserve"> [GC], n</w:t>
      </w:r>
      <w:r w:rsidR="00694DCE" w:rsidRPr="00250114">
        <w:rPr>
          <w:rStyle w:val="sea881cdf"/>
          <w:vertAlign w:val="superscript"/>
        </w:rPr>
        <w:t>o</w:t>
      </w:r>
      <w:r w:rsidR="00694DCE">
        <w:rPr>
          <w:rStyle w:val="sb8d990e2"/>
        </w:rPr>
        <w:t xml:space="preserve"> 30210/96, § 152, CEDH 2000-XI</w:t>
      </w:r>
      <w:r w:rsidR="00250114">
        <w:rPr>
          <w:rStyle w:val="sb8d990e2"/>
        </w:rPr>
        <w:t>, et</w:t>
      </w:r>
      <w:r w:rsidR="00694DCE">
        <w:rPr>
          <w:rStyle w:val="sb8d990e2"/>
        </w:rPr>
        <w:t xml:space="preserve"> </w:t>
      </w:r>
      <w:r w:rsidR="00694DCE" w:rsidRPr="00694DCE">
        <w:rPr>
          <w:rStyle w:val="s6b621b36"/>
          <w:i/>
        </w:rPr>
        <w:t>Hassan et Tchaouch c. Bulgarie</w:t>
      </w:r>
      <w:r w:rsidR="00694DCE">
        <w:rPr>
          <w:rStyle w:val="s6b621b36"/>
        </w:rPr>
        <w:t xml:space="preserve"> </w:t>
      </w:r>
      <w:r w:rsidR="00694DCE">
        <w:rPr>
          <w:rStyle w:val="sb8d990e2"/>
        </w:rPr>
        <w:t>[GC], n</w:t>
      </w:r>
      <w:r w:rsidR="00694DCE" w:rsidRPr="00250114">
        <w:rPr>
          <w:rStyle w:val="sea881cdf"/>
          <w:vertAlign w:val="superscript"/>
        </w:rPr>
        <w:t>o</w:t>
      </w:r>
      <w:r w:rsidR="00694DCE">
        <w:rPr>
          <w:rStyle w:val="sb8d990e2"/>
        </w:rPr>
        <w:t> 30985/96, §§ 96-98, CEDH 2000</w:t>
      </w:r>
      <w:r w:rsidR="00694DCE">
        <w:rPr>
          <w:rStyle w:val="sb8d990e2"/>
        </w:rPr>
        <w:noBreakHyphen/>
        <w:t>XI).</w:t>
      </w:r>
      <w:r w:rsidR="00694DCE">
        <w:rPr>
          <w:rStyle w:val="s6b621b36"/>
        </w:rPr>
        <w:t xml:space="preserve"> </w:t>
      </w:r>
      <w:r w:rsidR="00694DCE">
        <w:rPr>
          <w:rStyle w:val="sb8d990e2"/>
        </w:rPr>
        <w:t xml:space="preserve">La Cour rappelle </w:t>
      </w:r>
      <w:r w:rsidR="00061B3D">
        <w:rPr>
          <w:rStyle w:val="sb8d990e2"/>
        </w:rPr>
        <w:t xml:space="preserve">également </w:t>
      </w:r>
      <w:r w:rsidR="00694DCE">
        <w:rPr>
          <w:rStyle w:val="sb8d990e2"/>
        </w:rPr>
        <w:t>qu</w:t>
      </w:r>
      <w:r w:rsidR="00061B3D">
        <w:rPr>
          <w:rStyle w:val="sb8d990e2"/>
        </w:rPr>
        <w:t xml:space="preserve">e, </w:t>
      </w:r>
      <w:r w:rsidR="00694DCE">
        <w:rPr>
          <w:rStyle w:val="sb8d990e2"/>
        </w:rPr>
        <w:t>en vertu de la règle de l</w:t>
      </w:r>
      <w:r w:rsidR="00C419B2">
        <w:rPr>
          <w:rStyle w:val="sb8d990e2"/>
        </w:rPr>
        <w:t>’</w:t>
      </w:r>
      <w:r w:rsidR="00694DCE">
        <w:rPr>
          <w:rStyle w:val="sb8d990e2"/>
        </w:rPr>
        <w:t>épuisement des voies de recours internes</w:t>
      </w:r>
      <w:r w:rsidR="00061B3D">
        <w:rPr>
          <w:rStyle w:val="sb8d990e2"/>
        </w:rPr>
        <w:t>,</w:t>
      </w:r>
      <w:r w:rsidR="00694DCE">
        <w:rPr>
          <w:rStyle w:val="sb8d990e2"/>
        </w:rPr>
        <w:t xml:space="preserve"> le requérant doit, avant de saisir la Cour, avoir donné à l</w:t>
      </w:r>
      <w:r w:rsidR="00C419B2">
        <w:rPr>
          <w:rStyle w:val="sb8d990e2"/>
        </w:rPr>
        <w:t>’</w:t>
      </w:r>
      <w:r w:rsidR="00694DCE">
        <w:rPr>
          <w:rStyle w:val="sb8d990e2"/>
        </w:rPr>
        <w:t xml:space="preserve">Etat responsable, en utilisant les ressources judiciaires pouvant être considérées comme effectives et suffisantes offertes par la législation nationale, la faculté de remédier par des moyens internes aux violations alléguées (voir, entre autres, </w:t>
      </w:r>
      <w:r w:rsidR="00694DCE" w:rsidRPr="00694DCE">
        <w:rPr>
          <w:rStyle w:val="s6b621b36"/>
          <w:i/>
        </w:rPr>
        <w:t>Fressoz et Roire c. France</w:t>
      </w:r>
      <w:r w:rsidR="00694DCE">
        <w:rPr>
          <w:rStyle w:val="sb8d990e2"/>
        </w:rPr>
        <w:t xml:space="preserve"> [GC], n</w:t>
      </w:r>
      <w:r w:rsidR="00694DCE" w:rsidRPr="00061B3D">
        <w:rPr>
          <w:rStyle w:val="sea881cdf"/>
          <w:vertAlign w:val="superscript"/>
        </w:rPr>
        <w:t>o</w:t>
      </w:r>
      <w:r w:rsidR="00694DCE">
        <w:rPr>
          <w:rStyle w:val="sb8d990e2"/>
        </w:rPr>
        <w:t xml:space="preserve"> 29183/95, § 37, CEDH 1999</w:t>
      </w:r>
      <w:r w:rsidR="00694DCE">
        <w:rPr>
          <w:rStyle w:val="sb8d990e2"/>
        </w:rPr>
        <w:noBreakHyphen/>
        <w:t>I).</w:t>
      </w:r>
    </w:p>
    <w:p w:rsidR="00694DCE" w:rsidRDefault="00970717" w:rsidP="00694DCE">
      <w:pPr>
        <w:pStyle w:val="JuPara"/>
      </w:pPr>
      <w:r>
        <w:fldChar w:fldCharType="begin"/>
      </w:r>
      <w:r>
        <w:instrText xml:space="preserve"> SEQ level0 \*arabic </w:instrText>
      </w:r>
      <w:r>
        <w:fldChar w:fldCharType="separate"/>
      </w:r>
      <w:r w:rsidR="00E555B3">
        <w:rPr>
          <w:noProof/>
        </w:rPr>
        <w:t>59</w:t>
      </w:r>
      <w:r>
        <w:fldChar w:fldCharType="end"/>
      </w:r>
      <w:r>
        <w:t>.  </w:t>
      </w:r>
      <w:r w:rsidR="00694DCE">
        <w:t xml:space="preserve">La Cour rappelle </w:t>
      </w:r>
      <w:r w:rsidR="00061B3D">
        <w:t>en outre</w:t>
      </w:r>
      <w:r w:rsidR="00694DCE">
        <w:t xml:space="preserve"> que</w:t>
      </w:r>
      <w:r w:rsidR="00061B3D">
        <w:t>,</w:t>
      </w:r>
      <w:r w:rsidR="00694DCE">
        <w:t xml:space="preserve"> dans l</w:t>
      </w:r>
      <w:r w:rsidR="00C419B2">
        <w:t>’</w:t>
      </w:r>
      <w:r w:rsidR="00694DCE">
        <w:t xml:space="preserve">affaire </w:t>
      </w:r>
      <w:r w:rsidR="00694DCE" w:rsidRPr="003C7229">
        <w:rPr>
          <w:i/>
        </w:rPr>
        <w:t>Sampanis et autres</w:t>
      </w:r>
      <w:r w:rsidR="00694DCE">
        <w:t xml:space="preserve"> précité</w:t>
      </w:r>
      <w:r w:rsidR="00061B3D">
        <w:t>e</w:t>
      </w:r>
      <w:r w:rsidR="00694DCE">
        <w:t xml:space="preserve">, elle a conclu à </w:t>
      </w:r>
      <w:r w:rsidR="00061B3D">
        <w:t>la</w:t>
      </w:r>
      <w:r w:rsidR="00694DCE">
        <w:t xml:space="preserve"> violation de l</w:t>
      </w:r>
      <w:r w:rsidR="00C419B2">
        <w:t>’</w:t>
      </w:r>
      <w:r w:rsidR="00694DCE">
        <w:t xml:space="preserve">article 13 au motif que </w:t>
      </w:r>
      <w:r w:rsidR="00694DCE">
        <w:rPr>
          <w:rStyle w:val="sb8d990e2"/>
        </w:rPr>
        <w:t>le Gouvernement n</w:t>
      </w:r>
      <w:r w:rsidR="00C419B2">
        <w:rPr>
          <w:rStyle w:val="sb8d990e2"/>
        </w:rPr>
        <w:t>’</w:t>
      </w:r>
      <w:r w:rsidR="00694DCE">
        <w:rPr>
          <w:rStyle w:val="sb8d990e2"/>
        </w:rPr>
        <w:t>avait produit aucun exemple jurisprudentiel propre à démontrer que l</w:t>
      </w:r>
      <w:r w:rsidR="00C419B2">
        <w:rPr>
          <w:rStyle w:val="sb8d990e2"/>
        </w:rPr>
        <w:t>’</w:t>
      </w:r>
      <w:r w:rsidR="00694DCE">
        <w:rPr>
          <w:rStyle w:val="sb8d990e2"/>
        </w:rPr>
        <w:t xml:space="preserve">utilisation des recours </w:t>
      </w:r>
      <w:r w:rsidR="00A93E17">
        <w:rPr>
          <w:rStyle w:val="sb8d990e2"/>
        </w:rPr>
        <w:t>offerts par l</w:t>
      </w:r>
      <w:r w:rsidR="0035550C">
        <w:rPr>
          <w:rStyle w:val="sb8d990e2"/>
        </w:rPr>
        <w:t>es articles 45 et 52 du décret législatif n</w:t>
      </w:r>
      <w:r w:rsidR="0035550C" w:rsidRPr="00061B3D">
        <w:rPr>
          <w:rStyle w:val="sea881cdf"/>
          <w:vertAlign w:val="superscript"/>
        </w:rPr>
        <w:t>o</w:t>
      </w:r>
      <w:r w:rsidR="0035550C">
        <w:rPr>
          <w:rStyle w:val="sb8d990e2"/>
        </w:rPr>
        <w:t xml:space="preserve"> 18/1989 </w:t>
      </w:r>
      <w:r w:rsidR="00694DCE">
        <w:rPr>
          <w:rStyle w:val="sb8d990e2"/>
        </w:rPr>
        <w:t>aurait pu entraîner l</w:t>
      </w:r>
      <w:r w:rsidR="00C419B2">
        <w:rPr>
          <w:rStyle w:val="sb8d990e2"/>
        </w:rPr>
        <w:t>’</w:t>
      </w:r>
      <w:r w:rsidR="00694DCE">
        <w:rPr>
          <w:rStyle w:val="sb8d990e2"/>
        </w:rPr>
        <w:t>annulation de l</w:t>
      </w:r>
      <w:r w:rsidR="00C419B2">
        <w:rPr>
          <w:rStyle w:val="sb8d990e2"/>
        </w:rPr>
        <w:t>’</w:t>
      </w:r>
      <w:r w:rsidR="00694DCE">
        <w:rPr>
          <w:rStyle w:val="sb8d990e2"/>
        </w:rPr>
        <w:t>omission alléguée de l</w:t>
      </w:r>
      <w:r w:rsidR="00C419B2">
        <w:rPr>
          <w:rStyle w:val="sb8d990e2"/>
        </w:rPr>
        <w:t>’</w:t>
      </w:r>
      <w:r w:rsidR="00694DCE">
        <w:rPr>
          <w:rStyle w:val="sb8d990e2"/>
        </w:rPr>
        <w:t>administration de procéder à l</w:t>
      </w:r>
      <w:r w:rsidR="00C419B2">
        <w:rPr>
          <w:rStyle w:val="sb8d990e2"/>
        </w:rPr>
        <w:t>’</w:t>
      </w:r>
      <w:r w:rsidR="00DA6A26">
        <w:rPr>
          <w:rStyle w:val="sb8d990e2"/>
        </w:rPr>
        <w:t>inscription</w:t>
      </w:r>
      <w:r w:rsidR="003C7229">
        <w:rPr>
          <w:rStyle w:val="sb8d990e2"/>
        </w:rPr>
        <w:t xml:space="preserve"> des enfants non scolarisés</w:t>
      </w:r>
      <w:r w:rsidR="00061B3D">
        <w:rPr>
          <w:rStyle w:val="sb8d990e2"/>
        </w:rPr>
        <w:t>,</w:t>
      </w:r>
      <w:r w:rsidR="00694DCE">
        <w:rPr>
          <w:rStyle w:val="sb8d990e2"/>
        </w:rPr>
        <w:t xml:space="preserve"> </w:t>
      </w:r>
      <w:r w:rsidR="003C7229">
        <w:rPr>
          <w:rStyle w:val="sb8d990e2"/>
        </w:rPr>
        <w:t xml:space="preserve">et </w:t>
      </w:r>
      <w:r w:rsidR="00061B3D">
        <w:rPr>
          <w:rStyle w:val="sb8d990e2"/>
        </w:rPr>
        <w:t>qu</w:t>
      </w:r>
      <w:r w:rsidR="00C419B2">
        <w:rPr>
          <w:rStyle w:val="sb8d990e2"/>
        </w:rPr>
        <w:t>’</w:t>
      </w:r>
      <w:r w:rsidR="00061B3D">
        <w:rPr>
          <w:rStyle w:val="sb8d990e2"/>
        </w:rPr>
        <w:t xml:space="preserve">il </w:t>
      </w:r>
      <w:r w:rsidR="00694DCE">
        <w:rPr>
          <w:rStyle w:val="sb8d990e2"/>
        </w:rPr>
        <w:t>n</w:t>
      </w:r>
      <w:r w:rsidR="00C419B2">
        <w:rPr>
          <w:rStyle w:val="sb8d990e2"/>
        </w:rPr>
        <w:t>’</w:t>
      </w:r>
      <w:r w:rsidR="00694DCE">
        <w:rPr>
          <w:rStyle w:val="sb8d990e2"/>
        </w:rPr>
        <w:t>a</w:t>
      </w:r>
      <w:r w:rsidR="003C7229">
        <w:rPr>
          <w:rStyle w:val="sb8d990e2"/>
        </w:rPr>
        <w:t>vait</w:t>
      </w:r>
      <w:r w:rsidR="00694DCE">
        <w:rPr>
          <w:rStyle w:val="sb8d990e2"/>
        </w:rPr>
        <w:t xml:space="preserve"> fait état d</w:t>
      </w:r>
      <w:r w:rsidR="00C419B2">
        <w:rPr>
          <w:rStyle w:val="sb8d990e2"/>
        </w:rPr>
        <w:t>’</w:t>
      </w:r>
      <w:r w:rsidR="00694DCE">
        <w:rPr>
          <w:rStyle w:val="sb8d990e2"/>
        </w:rPr>
        <w:t>aucun autre recours que les requérants auraient pu exercer afin d</w:t>
      </w:r>
      <w:r w:rsidR="00C419B2">
        <w:rPr>
          <w:rStyle w:val="sb8d990e2"/>
        </w:rPr>
        <w:t>’</w:t>
      </w:r>
      <w:r w:rsidR="00694DCE">
        <w:rPr>
          <w:rStyle w:val="sb8d990e2"/>
        </w:rPr>
        <w:t>obtenir le redressement de la violation alléguée au titre de l</w:t>
      </w:r>
      <w:r w:rsidR="00C419B2">
        <w:rPr>
          <w:rStyle w:val="sb8d990e2"/>
        </w:rPr>
        <w:t>’</w:t>
      </w:r>
      <w:r w:rsidR="00694DCE">
        <w:rPr>
          <w:rStyle w:val="sb8d990e2"/>
        </w:rPr>
        <w:t>article 14 de la Convention combiné avec l</w:t>
      </w:r>
      <w:r w:rsidR="00C419B2">
        <w:rPr>
          <w:rStyle w:val="sb8d990e2"/>
        </w:rPr>
        <w:t>’</w:t>
      </w:r>
      <w:r w:rsidR="00694DCE">
        <w:rPr>
          <w:rStyle w:val="sb8d990e2"/>
        </w:rPr>
        <w:t xml:space="preserve">article 2 du </w:t>
      </w:r>
      <w:r w:rsidR="00A93E17">
        <w:rPr>
          <w:rStyle w:val="sb8d990e2"/>
        </w:rPr>
        <w:t>Protocole </w:t>
      </w:r>
      <w:r w:rsidR="00694DCE">
        <w:rPr>
          <w:rStyle w:val="sb8d990e2"/>
        </w:rPr>
        <w:t>n</w:t>
      </w:r>
      <w:r w:rsidR="00694DCE" w:rsidRPr="00061B3D">
        <w:rPr>
          <w:rStyle w:val="sea881cdf"/>
          <w:vertAlign w:val="superscript"/>
        </w:rPr>
        <w:t>o</w:t>
      </w:r>
      <w:r w:rsidR="00694DCE">
        <w:rPr>
          <w:rStyle w:val="sb8d990e2"/>
        </w:rPr>
        <w:t xml:space="preserve"> 1</w:t>
      </w:r>
      <w:r w:rsidR="003C7229">
        <w:rPr>
          <w:rStyle w:val="sb8d990e2"/>
        </w:rPr>
        <w:t>.</w:t>
      </w:r>
    </w:p>
    <w:p w:rsidR="00B136CA" w:rsidRDefault="00970717">
      <w:pPr>
        <w:pStyle w:val="JuPara"/>
      </w:pPr>
      <w:r>
        <w:fldChar w:fldCharType="begin"/>
      </w:r>
      <w:r>
        <w:instrText xml:space="preserve"> SEQ level0 \*arabic </w:instrText>
      </w:r>
      <w:r>
        <w:fldChar w:fldCharType="separate"/>
      </w:r>
      <w:r w:rsidR="00E555B3">
        <w:rPr>
          <w:noProof/>
        </w:rPr>
        <w:t>60</w:t>
      </w:r>
      <w:r>
        <w:fldChar w:fldCharType="end"/>
      </w:r>
      <w:r>
        <w:t>.  </w:t>
      </w:r>
      <w:r w:rsidR="00F5038B">
        <w:t xml:space="preserve">La Cour </w:t>
      </w:r>
      <w:r w:rsidR="00A80522">
        <w:t>note qu</w:t>
      </w:r>
      <w:r w:rsidR="005E4E0B">
        <w:t xml:space="preserve">e, </w:t>
      </w:r>
      <w:r w:rsidR="00A80522">
        <w:t>à l</w:t>
      </w:r>
      <w:r w:rsidR="00C419B2">
        <w:t>’</w:t>
      </w:r>
      <w:r w:rsidR="00A80522">
        <w:t>appui de sa thèse</w:t>
      </w:r>
      <w:r w:rsidR="005E4E0B">
        <w:t>,</w:t>
      </w:r>
      <w:r w:rsidR="00A80522">
        <w:t xml:space="preserve"> le Gouvern</w:t>
      </w:r>
      <w:r w:rsidR="00901078">
        <w:t xml:space="preserve">ement </w:t>
      </w:r>
      <w:r w:rsidR="009E2930">
        <w:t xml:space="preserve">a </w:t>
      </w:r>
      <w:r w:rsidR="00901078">
        <w:t>produit quelques arrêts du Conseil d</w:t>
      </w:r>
      <w:r w:rsidR="00C419B2">
        <w:t>’</w:t>
      </w:r>
      <w:r w:rsidR="00901078">
        <w:t>Etat</w:t>
      </w:r>
      <w:r w:rsidR="00A80522">
        <w:t xml:space="preserve"> </w:t>
      </w:r>
      <w:r w:rsidR="009E2930">
        <w:t>relatifs à</w:t>
      </w:r>
      <w:r w:rsidR="00A80522">
        <w:t xml:space="preserve"> un acte ordonnant la suspension d</w:t>
      </w:r>
      <w:r w:rsidR="005D4D66">
        <w:t>u fonctionnement</w:t>
      </w:r>
      <w:r w:rsidR="00A80522">
        <w:t xml:space="preserve"> d</w:t>
      </w:r>
      <w:r w:rsidR="00C419B2">
        <w:t>’</w:t>
      </w:r>
      <w:r w:rsidR="00A80522">
        <w:t>une école primaire privée</w:t>
      </w:r>
      <w:r w:rsidR="00901078">
        <w:t xml:space="preserve"> (arrêt n</w:t>
      </w:r>
      <w:r w:rsidR="009202F2" w:rsidRPr="009202F2">
        <w:rPr>
          <w:vertAlign w:val="superscript"/>
        </w:rPr>
        <w:t>o</w:t>
      </w:r>
      <w:r w:rsidR="00901078">
        <w:t xml:space="preserve"> 2149/2002)</w:t>
      </w:r>
      <w:r w:rsidR="00A80522">
        <w:t xml:space="preserve">, </w:t>
      </w:r>
      <w:r w:rsidR="009E2930">
        <w:t xml:space="preserve">à </w:t>
      </w:r>
      <w:r w:rsidR="00A80522">
        <w:t>une décision du ministre de l</w:t>
      </w:r>
      <w:r w:rsidR="00C419B2">
        <w:t>’</w:t>
      </w:r>
      <w:r w:rsidR="00A80522">
        <w:t xml:space="preserve">Education </w:t>
      </w:r>
      <w:r w:rsidR="009E2930">
        <w:t xml:space="preserve">de </w:t>
      </w:r>
      <w:r w:rsidR="00A80522">
        <w:t>cré</w:t>
      </w:r>
      <w:r w:rsidR="009E2930">
        <w:t>er</w:t>
      </w:r>
      <w:r w:rsidR="00A80522">
        <w:t xml:space="preserve"> un comité chargé de l</w:t>
      </w:r>
      <w:r w:rsidR="00C419B2">
        <w:t>’</w:t>
      </w:r>
      <w:r w:rsidR="00A80522">
        <w:t xml:space="preserve">élaboration </w:t>
      </w:r>
      <w:r w:rsidR="00303437">
        <w:t>d</w:t>
      </w:r>
      <w:r w:rsidR="00C419B2">
        <w:t>’</w:t>
      </w:r>
      <w:r w:rsidR="00303437">
        <w:t>un livre scolaire sur les religions</w:t>
      </w:r>
      <w:r w:rsidR="00901078">
        <w:t xml:space="preserve"> (4296/2009)</w:t>
      </w:r>
      <w:r w:rsidR="00303437">
        <w:t xml:space="preserve"> ou </w:t>
      </w:r>
      <w:r w:rsidR="009E2930">
        <w:t xml:space="preserve">à </w:t>
      </w:r>
      <w:r w:rsidR="00303437">
        <w:t>un acte du directeur de l</w:t>
      </w:r>
      <w:r w:rsidR="00C419B2">
        <w:t>’</w:t>
      </w:r>
      <w:r w:rsidR="009E2930">
        <w:t>e</w:t>
      </w:r>
      <w:r w:rsidR="00303437">
        <w:t>nseignement primaire ayant suspendu le fonctionnement d</w:t>
      </w:r>
      <w:r w:rsidR="00C419B2">
        <w:t>’</w:t>
      </w:r>
      <w:r w:rsidR="00303437">
        <w:t>une école primaire</w:t>
      </w:r>
      <w:r w:rsidR="00901078">
        <w:t xml:space="preserve"> (arrêt n</w:t>
      </w:r>
      <w:r w:rsidR="009202F2" w:rsidRPr="009202F2">
        <w:rPr>
          <w:vertAlign w:val="superscript"/>
        </w:rPr>
        <w:t>o</w:t>
      </w:r>
      <w:r w:rsidR="00901078">
        <w:t xml:space="preserve"> 3566/1996)</w:t>
      </w:r>
      <w:r w:rsidR="00303437">
        <w:t>.</w:t>
      </w:r>
    </w:p>
    <w:p w:rsidR="00B136CA" w:rsidRDefault="00970717">
      <w:pPr>
        <w:pStyle w:val="JuPara"/>
      </w:pPr>
      <w:r>
        <w:fldChar w:fldCharType="begin"/>
      </w:r>
      <w:r>
        <w:instrText xml:space="preserve"> SEQ level0 \*arabic </w:instrText>
      </w:r>
      <w:r>
        <w:fldChar w:fldCharType="separate"/>
      </w:r>
      <w:r w:rsidR="00E555B3">
        <w:rPr>
          <w:noProof/>
        </w:rPr>
        <w:t>61</w:t>
      </w:r>
      <w:r>
        <w:fldChar w:fldCharType="end"/>
      </w:r>
      <w:r>
        <w:t>.  </w:t>
      </w:r>
      <w:r w:rsidR="00F35192">
        <w:t>L</w:t>
      </w:r>
      <w:r w:rsidR="00901078">
        <w:t>a Cour considère que</w:t>
      </w:r>
      <w:r w:rsidR="00F35192">
        <w:t>, étant donné leur nombre limité,</w:t>
      </w:r>
      <w:r w:rsidR="00901078">
        <w:t xml:space="preserve"> ces exemples ne sauraient être invoqués </w:t>
      </w:r>
      <w:r w:rsidR="005E4E0B">
        <w:t>en l</w:t>
      </w:r>
      <w:r w:rsidR="00C419B2">
        <w:t>’</w:t>
      </w:r>
      <w:r w:rsidR="00901078">
        <w:t xml:space="preserve">espèce par rapport aux </w:t>
      </w:r>
      <w:r w:rsidR="0098040D">
        <w:t xml:space="preserve">actes administratifs </w:t>
      </w:r>
      <w:r w:rsidR="00901078">
        <w:t xml:space="preserve">indiqués par le Gouvernement </w:t>
      </w:r>
      <w:r w:rsidR="0098040D">
        <w:t>(</w:t>
      </w:r>
      <w:r w:rsidR="0098040D" w:rsidRPr="003769D9">
        <w:t xml:space="preserve">paragraphe </w:t>
      </w:r>
      <w:r w:rsidR="003769D9" w:rsidRPr="003769D9">
        <w:t xml:space="preserve">55 </w:t>
      </w:r>
      <w:r w:rsidR="0098040D" w:rsidRPr="003769D9">
        <w:t>ci-dessus</w:t>
      </w:r>
      <w:r w:rsidR="0098040D">
        <w:t>)</w:t>
      </w:r>
      <w:r w:rsidR="0057701E">
        <w:t xml:space="preserve">. </w:t>
      </w:r>
      <w:r w:rsidR="00093CC4" w:rsidRPr="005E4E0B">
        <w:t>E</w:t>
      </w:r>
      <w:r w:rsidR="005E4E0B" w:rsidRPr="005E4E0B">
        <w:t>lle estime en outre que</w:t>
      </w:r>
      <w:r w:rsidR="00093CC4" w:rsidRPr="005E4E0B">
        <w:t xml:space="preserve"> ces actes ne comport</w:t>
      </w:r>
      <w:r w:rsidR="00503B91" w:rsidRPr="005E4E0B">
        <w:t>ai</w:t>
      </w:r>
      <w:r w:rsidR="00093CC4" w:rsidRPr="005E4E0B">
        <w:t xml:space="preserve">ent aucun </w:t>
      </w:r>
      <w:r w:rsidR="003769D9">
        <w:t xml:space="preserve">des </w:t>
      </w:r>
      <w:r w:rsidR="00093CC4" w:rsidRPr="005E4E0B">
        <w:t>aspect</w:t>
      </w:r>
      <w:r w:rsidR="003769D9">
        <w:t>s</w:t>
      </w:r>
      <w:r w:rsidR="00093CC4" w:rsidRPr="005E4E0B">
        <w:t xml:space="preserve"> discrimina</w:t>
      </w:r>
      <w:r w:rsidR="00093CC4">
        <w:t>toire</w:t>
      </w:r>
      <w:r w:rsidR="003769D9">
        <w:t>s</w:t>
      </w:r>
      <w:r w:rsidR="00093CC4">
        <w:t xml:space="preserve"> </w:t>
      </w:r>
      <w:r w:rsidR="003769D9">
        <w:t>que dénoncent les requéran</w:t>
      </w:r>
      <w:r w:rsidR="008B76C7">
        <w:t xml:space="preserve">ts dans la présente affaire. Les actes litigieux </w:t>
      </w:r>
      <w:r w:rsidR="003769D9">
        <w:t>n</w:t>
      </w:r>
      <w:r w:rsidR="00C419B2">
        <w:t>’</w:t>
      </w:r>
      <w:r w:rsidR="003769D9">
        <w:t xml:space="preserve">étaient donc pas </w:t>
      </w:r>
      <w:r w:rsidR="00B4617B">
        <w:t>susceptible</w:t>
      </w:r>
      <w:r w:rsidR="003769D9">
        <w:t>s</w:t>
      </w:r>
      <w:r w:rsidR="00B4617B">
        <w:t xml:space="preserve"> de</w:t>
      </w:r>
      <w:r w:rsidR="00093CC4">
        <w:t xml:space="preserve"> </w:t>
      </w:r>
      <w:r w:rsidR="00427B60">
        <w:t>faire l</w:t>
      </w:r>
      <w:r w:rsidR="00C419B2">
        <w:t>’</w:t>
      </w:r>
      <w:r w:rsidR="00427B60">
        <w:t>objet d</w:t>
      </w:r>
      <w:r w:rsidR="00C419B2">
        <w:t>’</w:t>
      </w:r>
      <w:r w:rsidR="00427B60">
        <w:t>un recours utile devant le Conseil d</w:t>
      </w:r>
      <w:r w:rsidR="00C419B2">
        <w:t>’</w:t>
      </w:r>
      <w:r w:rsidR="00427B60">
        <w:t>Etat</w:t>
      </w:r>
      <w:r w:rsidR="003769D9">
        <w:t xml:space="preserve"> pour se plaindre des circonstances de l</w:t>
      </w:r>
      <w:r w:rsidR="00C419B2">
        <w:t>’</w:t>
      </w:r>
      <w:r w:rsidR="003769D9">
        <w:t>espèce</w:t>
      </w:r>
      <w:r w:rsidR="00427B60">
        <w:t xml:space="preserve">. </w:t>
      </w:r>
      <w:r w:rsidR="00B4617B">
        <w:t>Ils</w:t>
      </w:r>
      <w:r w:rsidR="00093CC4">
        <w:t xml:space="preserve"> se limitaient à créer une nouvelle école en raison </w:t>
      </w:r>
      <w:r w:rsidR="00503B91">
        <w:t>du grand nombre d</w:t>
      </w:r>
      <w:r w:rsidR="00C419B2">
        <w:t>’</w:t>
      </w:r>
      <w:r w:rsidR="00503B91">
        <w:t>élèves qu</w:t>
      </w:r>
      <w:r w:rsidR="00C419B2">
        <w:t>’</w:t>
      </w:r>
      <w:r w:rsidR="00503B91">
        <w:t>accueillait la 10</w:t>
      </w:r>
      <w:r w:rsidR="00503B91" w:rsidRPr="00503B91">
        <w:rPr>
          <w:vertAlign w:val="superscript"/>
        </w:rPr>
        <w:t>e</w:t>
      </w:r>
      <w:r w:rsidR="00503B91">
        <w:t xml:space="preserve"> école, fixaient l</w:t>
      </w:r>
      <w:r w:rsidR="00D42250">
        <w:t>a zone de recrutement</w:t>
      </w:r>
      <w:r w:rsidR="00503B91">
        <w:t xml:space="preserve"> de l</w:t>
      </w:r>
      <w:r w:rsidR="00FD69B6">
        <w:t xml:space="preserve">a nouvelle école </w:t>
      </w:r>
      <w:r w:rsidR="00D42250">
        <w:t xml:space="preserve">et </w:t>
      </w:r>
      <w:r w:rsidR="00B4617B">
        <w:t>réglaient</w:t>
      </w:r>
      <w:r w:rsidR="00503B91">
        <w:t xml:space="preserve"> des questions relatives </w:t>
      </w:r>
      <w:r w:rsidR="005E4E0B">
        <w:t>au</w:t>
      </w:r>
      <w:r w:rsidR="00503B91">
        <w:t xml:space="preserve"> lieu d</w:t>
      </w:r>
      <w:r w:rsidR="005E4E0B">
        <w:t xml:space="preserve">e son </w:t>
      </w:r>
      <w:r w:rsidR="00503B91">
        <w:t>établissement. Un recours en annulation de ces actes devant le Conseil d</w:t>
      </w:r>
      <w:r w:rsidR="00C419B2">
        <w:t>’</w:t>
      </w:r>
      <w:r w:rsidR="00503B91">
        <w:t xml:space="preserve">Etat </w:t>
      </w:r>
      <w:r w:rsidR="00FD69B6">
        <w:t>ne pou</w:t>
      </w:r>
      <w:r w:rsidR="005E4E0B">
        <w:t>v</w:t>
      </w:r>
      <w:r w:rsidR="00FD69B6">
        <w:t>ait donc assurer un accès des élèves roms à un enseignement non discriminatoire par rapport aux élèves non</w:t>
      </w:r>
      <w:r w:rsidR="00B4617B">
        <w:t xml:space="preserve"> </w:t>
      </w:r>
      <w:r w:rsidR="00FD69B6">
        <w:t>roms pendant la période 2008-2010.</w:t>
      </w:r>
    </w:p>
    <w:p w:rsidR="00801221" w:rsidRDefault="003769D9">
      <w:pPr>
        <w:pStyle w:val="JuPara"/>
      </w:pPr>
      <w:r>
        <w:fldChar w:fldCharType="begin"/>
      </w:r>
      <w:r>
        <w:instrText xml:space="preserve"> SEQ level0 \*arabic </w:instrText>
      </w:r>
      <w:r>
        <w:fldChar w:fldCharType="separate"/>
      </w:r>
      <w:r w:rsidR="00E555B3">
        <w:rPr>
          <w:noProof/>
        </w:rPr>
        <w:t>62</w:t>
      </w:r>
      <w:r>
        <w:fldChar w:fldCharType="end"/>
      </w:r>
      <w:r>
        <w:t>.  </w:t>
      </w:r>
      <w:r w:rsidR="005E4E0B">
        <w:t>Partant, il y a lieu</w:t>
      </w:r>
      <w:r w:rsidR="00801221">
        <w:t xml:space="preserve"> d</w:t>
      </w:r>
      <w:r w:rsidR="00C419B2">
        <w:t>’</w:t>
      </w:r>
      <w:r w:rsidR="00801221">
        <w:t>écarter l</w:t>
      </w:r>
      <w:r w:rsidR="00C419B2">
        <w:t>’</w:t>
      </w:r>
      <w:r w:rsidR="00B4617B">
        <w:t>exception</w:t>
      </w:r>
      <w:r w:rsidR="00801221">
        <w:t xml:space="preserve"> du Gouvernement sur ce point.</w:t>
      </w:r>
    </w:p>
    <w:p w:rsidR="00EC6427" w:rsidRPr="000E496D" w:rsidRDefault="00970717">
      <w:pPr>
        <w:pStyle w:val="JuPara"/>
      </w:pPr>
      <w:r>
        <w:fldChar w:fldCharType="begin"/>
      </w:r>
      <w:r>
        <w:instrText xml:space="preserve"> SEQ level0 \*arabic </w:instrText>
      </w:r>
      <w:r>
        <w:fldChar w:fldCharType="separate"/>
      </w:r>
      <w:r w:rsidR="00E555B3">
        <w:rPr>
          <w:noProof/>
        </w:rPr>
        <w:t>63</w:t>
      </w:r>
      <w:r>
        <w:fldChar w:fldCharType="end"/>
      </w:r>
      <w:r>
        <w:t>.  </w:t>
      </w:r>
      <w:r w:rsidR="00EC6427" w:rsidRPr="000E496D">
        <w:t xml:space="preserve">La Cour constate que </w:t>
      </w:r>
      <w:r w:rsidR="00CB4956" w:rsidRPr="000E496D">
        <w:rPr>
          <w:rStyle w:val="JuParaCar"/>
        </w:rPr>
        <w:t xml:space="preserve">ce grief </w:t>
      </w:r>
      <w:r w:rsidR="005E4E0B">
        <w:rPr>
          <w:rStyle w:val="JuParaCar"/>
        </w:rPr>
        <w:t xml:space="preserve">des requérants </w:t>
      </w:r>
      <w:r w:rsidR="00EC6427" w:rsidRPr="000E496D">
        <w:t>n</w:t>
      </w:r>
      <w:r w:rsidR="00C419B2">
        <w:t>’</w:t>
      </w:r>
      <w:r w:rsidR="00EC6427" w:rsidRPr="000E496D">
        <w:t>est pas manifestement mal fondé au sens de l</w:t>
      </w:r>
      <w:r w:rsidR="00C419B2">
        <w:t>’</w:t>
      </w:r>
      <w:r w:rsidR="00EC6427" w:rsidRPr="000E496D">
        <w:t xml:space="preserve">article </w:t>
      </w:r>
      <w:r w:rsidR="006716C1" w:rsidRPr="000E496D">
        <w:t>35 § 3 a)</w:t>
      </w:r>
      <w:r w:rsidR="00EC6427" w:rsidRPr="000E496D">
        <w:t xml:space="preserve"> de la Convention.</w:t>
      </w:r>
      <w:r w:rsidR="00093CC4">
        <w:t xml:space="preserve"> </w:t>
      </w:r>
      <w:r w:rsidR="00B4617B">
        <w:t>Elle</w:t>
      </w:r>
      <w:r w:rsidR="00093CC4">
        <w:t xml:space="preserve"> relève par ailleurs </w:t>
      </w:r>
      <w:r w:rsidR="007357D0" w:rsidRPr="000E496D">
        <w:t>qu</w:t>
      </w:r>
      <w:r w:rsidR="00C419B2">
        <w:t>’</w:t>
      </w:r>
      <w:r w:rsidR="007357D0" w:rsidRPr="000E496D">
        <w:t>il</w:t>
      </w:r>
      <w:r w:rsidR="00EC6427" w:rsidRPr="000E496D">
        <w:t xml:space="preserve"> ne se heurte à aucun autre motif d</w:t>
      </w:r>
      <w:r w:rsidR="00C419B2">
        <w:t>’</w:t>
      </w:r>
      <w:r w:rsidR="00EC6427" w:rsidRPr="000E496D">
        <w:t>irrece</w:t>
      </w:r>
      <w:r w:rsidR="00093CC4">
        <w:t xml:space="preserve">vabilité. Il convient donc de </w:t>
      </w:r>
      <w:r w:rsidR="00EC6427" w:rsidRPr="000E496D">
        <w:t>le déclarer recevable.</w:t>
      </w:r>
    </w:p>
    <w:p w:rsidR="00EC6427" w:rsidRPr="000E496D" w:rsidRDefault="00930694" w:rsidP="00B33C50">
      <w:pPr>
        <w:pStyle w:val="JuHA"/>
        <w:outlineLvl w:val="0"/>
      </w:pPr>
      <w:r>
        <w:t>B</w:t>
      </w:r>
      <w:r w:rsidR="00EC6427" w:rsidRPr="000E496D">
        <w:t>.  Sur le fond</w:t>
      </w:r>
    </w:p>
    <w:p w:rsidR="00AA3CC6" w:rsidRDefault="00AA3CC6" w:rsidP="00AA3CC6">
      <w:pPr>
        <w:pStyle w:val="JuH1"/>
      </w:pPr>
      <w:r>
        <w:t>1.  Arguments des parties</w:t>
      </w:r>
    </w:p>
    <w:p w:rsidR="00AA3CC6" w:rsidRPr="00561139" w:rsidRDefault="00AA3CC6" w:rsidP="00AA3CC6">
      <w:pPr>
        <w:pStyle w:val="JuHa0"/>
      </w:pPr>
      <w:r w:rsidRPr="00561139">
        <w:t>a)  </w:t>
      </w:r>
      <w:r w:rsidR="00B4617B" w:rsidRPr="00561139">
        <w:t xml:space="preserve">Le </w:t>
      </w:r>
      <w:r w:rsidRPr="00561139">
        <w:t>Gouvernement</w:t>
      </w:r>
    </w:p>
    <w:p w:rsidR="00076451" w:rsidRDefault="000E496D" w:rsidP="00076451">
      <w:pPr>
        <w:pStyle w:val="JuPara"/>
      </w:pPr>
      <w:r w:rsidRPr="00561139">
        <w:fldChar w:fldCharType="begin"/>
      </w:r>
      <w:r w:rsidRPr="00561139">
        <w:instrText xml:space="preserve"> SEQ level0 \*arabic </w:instrText>
      </w:r>
      <w:r w:rsidRPr="00561139">
        <w:fldChar w:fldCharType="separate"/>
      </w:r>
      <w:r w:rsidR="00E555B3">
        <w:rPr>
          <w:noProof/>
        </w:rPr>
        <w:t>64</w:t>
      </w:r>
      <w:r w:rsidRPr="00561139">
        <w:fldChar w:fldCharType="end"/>
      </w:r>
      <w:r w:rsidR="00801221" w:rsidRPr="00561139">
        <w:t xml:space="preserve">.  Le Gouvernement </w:t>
      </w:r>
      <w:r w:rsidR="00B4617B" w:rsidRPr="00561139">
        <w:t>exprime</w:t>
      </w:r>
      <w:r w:rsidR="00733819" w:rsidRPr="00561139">
        <w:t xml:space="preserve"> d</w:t>
      </w:r>
      <w:r w:rsidR="00C419B2">
        <w:t>’</w:t>
      </w:r>
      <w:r w:rsidR="00733819" w:rsidRPr="00561139">
        <w:t xml:space="preserve">emblée </w:t>
      </w:r>
      <w:r w:rsidR="00B4617B" w:rsidRPr="00561139">
        <w:t>l</w:t>
      </w:r>
      <w:r w:rsidR="00C419B2">
        <w:t>’</w:t>
      </w:r>
      <w:r w:rsidR="00561139" w:rsidRPr="00561139">
        <w:t>avis que</w:t>
      </w:r>
      <w:r w:rsidR="00733819" w:rsidRPr="00561139">
        <w:t xml:space="preserve"> l</w:t>
      </w:r>
      <w:r w:rsidR="007E3C3B" w:rsidRPr="00561139">
        <w:t xml:space="preserve">es conclusions </w:t>
      </w:r>
      <w:r w:rsidR="00733819" w:rsidRPr="00561139">
        <w:t xml:space="preserve">de la Cour </w:t>
      </w:r>
      <w:r w:rsidR="007E3C3B" w:rsidRPr="00561139">
        <w:t>dans l</w:t>
      </w:r>
      <w:r w:rsidR="00C419B2">
        <w:t>’</w:t>
      </w:r>
      <w:r w:rsidR="007E3C3B" w:rsidRPr="00561139">
        <w:t xml:space="preserve">arrêt </w:t>
      </w:r>
      <w:r w:rsidR="007E3C3B" w:rsidRPr="00561139">
        <w:rPr>
          <w:i/>
        </w:rPr>
        <w:t>Sampanis et autres</w:t>
      </w:r>
      <w:r w:rsidR="007E3C3B" w:rsidRPr="00561139">
        <w:t xml:space="preserve"> </w:t>
      </w:r>
      <w:r w:rsidR="00D032FF" w:rsidRPr="00561139">
        <w:t>(</w:t>
      </w:r>
      <w:r w:rsidR="007E3C3B" w:rsidRPr="00561139">
        <w:t>précité</w:t>
      </w:r>
      <w:r w:rsidR="00D032FF" w:rsidRPr="00561139">
        <w:t>)</w:t>
      </w:r>
      <w:r w:rsidR="005A1107" w:rsidRPr="00561139">
        <w:t xml:space="preserve"> </w:t>
      </w:r>
      <w:r w:rsidR="00561139" w:rsidRPr="00561139">
        <w:t>n</w:t>
      </w:r>
      <w:r w:rsidR="00C419B2">
        <w:t>’</w:t>
      </w:r>
      <w:r w:rsidR="00561139" w:rsidRPr="00561139">
        <w:t>ont pas à interférer dans</w:t>
      </w:r>
      <w:r w:rsidR="004077B5" w:rsidRPr="00561139">
        <w:t xml:space="preserve"> </w:t>
      </w:r>
      <w:r w:rsidR="007E3C3B" w:rsidRPr="00561139">
        <w:t>l</w:t>
      </w:r>
      <w:r w:rsidR="00C419B2">
        <w:t>’</w:t>
      </w:r>
      <w:r w:rsidR="007E3C3B" w:rsidRPr="00561139">
        <w:t>examen de la présente affaire</w:t>
      </w:r>
      <w:r w:rsidR="00B4617B" w:rsidRPr="00561139">
        <w:t>,</w:t>
      </w:r>
      <w:r w:rsidR="007E3C3B" w:rsidRPr="00561139">
        <w:t xml:space="preserve"> dont les circonstances et les </w:t>
      </w:r>
      <w:r w:rsidR="00414FA5" w:rsidRPr="00561139">
        <w:t xml:space="preserve">griefs </w:t>
      </w:r>
      <w:r w:rsidR="007E3C3B" w:rsidRPr="00561139">
        <w:t>s</w:t>
      </w:r>
      <w:r w:rsidR="00B4617B" w:rsidRPr="00561139">
        <w:t>eraient</w:t>
      </w:r>
      <w:r w:rsidR="007E3C3B" w:rsidRPr="00561139">
        <w:t xml:space="preserve"> totalement différents. </w:t>
      </w:r>
      <w:r w:rsidR="003C04CD" w:rsidRPr="00561139">
        <w:t xml:space="preserve">Dans </w:t>
      </w:r>
      <w:r w:rsidR="00B4617B" w:rsidRPr="00561139">
        <w:t>l</w:t>
      </w:r>
      <w:r w:rsidR="00C419B2">
        <w:t>’</w:t>
      </w:r>
      <w:r w:rsidR="003C04CD" w:rsidRPr="00561139">
        <w:t>arrêt</w:t>
      </w:r>
      <w:r w:rsidR="00B4617B" w:rsidRPr="00561139">
        <w:t xml:space="preserve"> précité</w:t>
      </w:r>
      <w:r w:rsidR="003C04CD" w:rsidRPr="00561139">
        <w:t>, la Cour n</w:t>
      </w:r>
      <w:r w:rsidR="00C419B2">
        <w:t>’</w:t>
      </w:r>
      <w:r w:rsidR="003C04CD" w:rsidRPr="00561139">
        <w:t>a</w:t>
      </w:r>
      <w:r w:rsidR="00B4617B" w:rsidRPr="00561139">
        <w:t>urait</w:t>
      </w:r>
      <w:r w:rsidR="003C04CD" w:rsidRPr="00561139">
        <w:t xml:space="preserve"> en </w:t>
      </w:r>
      <w:r w:rsidR="00733819" w:rsidRPr="00561139">
        <w:t xml:space="preserve">aucune manière </w:t>
      </w:r>
      <w:r w:rsidR="003C04CD" w:rsidRPr="00561139">
        <w:t>co</w:t>
      </w:r>
      <w:r w:rsidR="00D032FF" w:rsidRPr="00561139">
        <w:t>nsidéré</w:t>
      </w:r>
      <w:r w:rsidR="00733819" w:rsidRPr="00561139">
        <w:t xml:space="preserve"> les conditions matérielles du local abritant les cours</w:t>
      </w:r>
      <w:r w:rsidR="00733819">
        <w:t xml:space="preserve"> préparatoires </w:t>
      </w:r>
      <w:r w:rsidR="00D032FF">
        <w:t xml:space="preserve">comme ayant eu </w:t>
      </w:r>
      <w:r w:rsidR="00733819">
        <w:t xml:space="preserve">une influence négative </w:t>
      </w:r>
      <w:r w:rsidR="00D032FF">
        <w:t>sur les</w:t>
      </w:r>
      <w:r w:rsidR="00733819">
        <w:t xml:space="preserve"> études</w:t>
      </w:r>
      <w:r w:rsidR="00D032FF">
        <w:t xml:space="preserve"> et comme ayant</w:t>
      </w:r>
      <w:r w:rsidR="00733819">
        <w:t xml:space="preserve"> entrav</w:t>
      </w:r>
      <w:r w:rsidR="00D032FF">
        <w:t>é</w:t>
      </w:r>
      <w:r w:rsidR="00D942E7">
        <w:t xml:space="preserve"> le droit d</w:t>
      </w:r>
      <w:r w:rsidR="00C419B2">
        <w:t>’</w:t>
      </w:r>
      <w:r w:rsidR="00D942E7">
        <w:t>accès à l</w:t>
      </w:r>
      <w:r w:rsidR="00C419B2">
        <w:t>’</w:t>
      </w:r>
      <w:r w:rsidR="00D942E7">
        <w:t>instruction.</w:t>
      </w:r>
    </w:p>
    <w:p w:rsidR="005A1107" w:rsidRDefault="00970717" w:rsidP="00076451">
      <w:pPr>
        <w:pStyle w:val="JuPara"/>
      </w:pPr>
      <w:r>
        <w:fldChar w:fldCharType="begin"/>
      </w:r>
      <w:r>
        <w:instrText xml:space="preserve"> SEQ level0 \*arabic </w:instrText>
      </w:r>
      <w:r>
        <w:fldChar w:fldCharType="separate"/>
      </w:r>
      <w:r w:rsidR="00E555B3">
        <w:rPr>
          <w:noProof/>
        </w:rPr>
        <w:t>65</w:t>
      </w:r>
      <w:r>
        <w:fldChar w:fldCharType="end"/>
      </w:r>
      <w:r>
        <w:t>.  </w:t>
      </w:r>
      <w:r w:rsidR="005A1107">
        <w:t xml:space="preserve">Le Gouvernement soutient </w:t>
      </w:r>
      <w:r w:rsidR="005E4E0B">
        <w:t xml:space="preserve">ensuite </w:t>
      </w:r>
      <w:r w:rsidR="005A1107">
        <w:t>que la 12</w:t>
      </w:r>
      <w:r w:rsidR="005A1107" w:rsidRPr="005A1107">
        <w:rPr>
          <w:vertAlign w:val="superscript"/>
        </w:rPr>
        <w:t>e</w:t>
      </w:r>
      <w:r w:rsidR="005A1107">
        <w:t xml:space="preserve"> école est une école ordinaire</w:t>
      </w:r>
      <w:r w:rsidR="000E0B40">
        <w:t>,</w:t>
      </w:r>
      <w:r w:rsidR="005A1107">
        <w:t xml:space="preserve"> intégrée </w:t>
      </w:r>
      <w:r w:rsidR="000E0B40">
        <w:t>dans le</w:t>
      </w:r>
      <w:r w:rsidR="005A1107">
        <w:t xml:space="preserve"> réseau des écoles publiques, créée dans les mêmes conditions q</w:t>
      </w:r>
      <w:r w:rsidR="00744BB7">
        <w:t>ue toute autre école publique</w:t>
      </w:r>
      <w:r w:rsidR="00414FA5">
        <w:t xml:space="preserve"> et</w:t>
      </w:r>
      <w:r w:rsidR="005A1107">
        <w:t xml:space="preserve"> destinée à répondre aux</w:t>
      </w:r>
      <w:r w:rsidR="00414FA5">
        <w:t xml:space="preserve"> besoins scolaires de la région. </w:t>
      </w:r>
      <w:r w:rsidR="000E0B40">
        <w:t>Le</w:t>
      </w:r>
      <w:r w:rsidR="00414FA5">
        <w:t xml:space="preserve"> programme d</w:t>
      </w:r>
      <w:r w:rsidR="00C419B2">
        <w:t>’</w:t>
      </w:r>
      <w:r w:rsidR="00414FA5">
        <w:t xml:space="preserve">études </w:t>
      </w:r>
      <w:r w:rsidR="000E0B40">
        <w:t>y serait</w:t>
      </w:r>
      <w:r w:rsidR="00414FA5">
        <w:t xml:space="preserve"> le même que dans toute autre école et permet</w:t>
      </w:r>
      <w:r w:rsidR="000E0B40">
        <w:t>trait</w:t>
      </w:r>
      <w:r w:rsidR="00414FA5">
        <w:t xml:space="preserve"> aux élèves qui vont jusqu</w:t>
      </w:r>
      <w:r w:rsidR="00C419B2">
        <w:t>’</w:t>
      </w:r>
      <w:r w:rsidR="00414FA5">
        <w:t>au bout de l</w:t>
      </w:r>
      <w:r w:rsidR="005E4E0B">
        <w:t>eur</w:t>
      </w:r>
      <w:r w:rsidR="00414FA5">
        <w:t xml:space="preserve"> scolarité d</w:t>
      </w:r>
      <w:r w:rsidR="00C419B2">
        <w:t>’</w:t>
      </w:r>
      <w:r w:rsidR="00414FA5">
        <w:t>obtenir un certificat de fin d</w:t>
      </w:r>
      <w:r w:rsidR="00C419B2">
        <w:t>’</w:t>
      </w:r>
      <w:r w:rsidR="00414FA5">
        <w:t>études de l</w:t>
      </w:r>
      <w:r w:rsidR="00C419B2">
        <w:t>’</w:t>
      </w:r>
      <w:r w:rsidR="00414FA5">
        <w:t>enseignement primaire.</w:t>
      </w:r>
    </w:p>
    <w:p w:rsidR="002E280C" w:rsidRDefault="00970717" w:rsidP="00076451">
      <w:pPr>
        <w:pStyle w:val="JuPara"/>
      </w:pPr>
      <w:r>
        <w:fldChar w:fldCharType="begin"/>
      </w:r>
      <w:r>
        <w:instrText xml:space="preserve"> SEQ level0 \*arabic </w:instrText>
      </w:r>
      <w:r>
        <w:fldChar w:fldCharType="separate"/>
      </w:r>
      <w:r w:rsidR="00E555B3">
        <w:rPr>
          <w:noProof/>
        </w:rPr>
        <w:t>66</w:t>
      </w:r>
      <w:r>
        <w:fldChar w:fldCharType="end"/>
      </w:r>
      <w:r>
        <w:t>.  </w:t>
      </w:r>
      <w:r w:rsidR="002E280C">
        <w:t xml:space="preserve">Le Gouvernement </w:t>
      </w:r>
      <w:r w:rsidR="00BF2862">
        <w:t>expose</w:t>
      </w:r>
      <w:r w:rsidR="002E280C">
        <w:t xml:space="preserve"> </w:t>
      </w:r>
      <w:r w:rsidR="005E4E0B">
        <w:t xml:space="preserve">en outre </w:t>
      </w:r>
      <w:r w:rsidR="002E280C">
        <w:t>que les élèves requérants ont de leur propre chef abandonné leur scolarité</w:t>
      </w:r>
      <w:r w:rsidR="00B667E4">
        <w:t>, ce qui les priverai</w:t>
      </w:r>
      <w:r w:rsidR="00BF2862">
        <w:t xml:space="preserve">t de toute possibilité </w:t>
      </w:r>
      <w:r w:rsidR="002E280C">
        <w:t xml:space="preserve">de la critiquer. </w:t>
      </w:r>
      <w:r w:rsidR="00BF2862">
        <w:t>Il considère que, à</w:t>
      </w:r>
      <w:r w:rsidR="002E280C">
        <w:t xml:space="preserve"> l</w:t>
      </w:r>
      <w:r w:rsidR="00C419B2">
        <w:t>’</w:t>
      </w:r>
      <w:r w:rsidR="002E280C">
        <w:t>exception de quatre d</w:t>
      </w:r>
      <w:r w:rsidR="00C419B2">
        <w:t>’</w:t>
      </w:r>
      <w:r w:rsidR="002E280C">
        <w:t xml:space="preserve">entre eux, </w:t>
      </w:r>
      <w:r w:rsidR="00BF2862">
        <w:t>ils ne peuvent être vus</w:t>
      </w:r>
      <w:r w:rsidR="002E280C">
        <w:t xml:space="preserve"> comme ayant eu la qualité d</w:t>
      </w:r>
      <w:r w:rsidR="00C419B2">
        <w:t>’</w:t>
      </w:r>
      <w:r w:rsidR="002E280C">
        <w:t xml:space="preserve">élève pendant </w:t>
      </w:r>
      <w:r w:rsidR="002E280C" w:rsidRPr="005E4E0B">
        <w:t>l</w:t>
      </w:r>
      <w:r w:rsidR="00C419B2">
        <w:t>’</w:t>
      </w:r>
      <w:r w:rsidR="002E280C" w:rsidRPr="005E4E0B">
        <w:t xml:space="preserve">année scolaire 2008-2009. Tous </w:t>
      </w:r>
      <w:r w:rsidR="00BF2862" w:rsidRPr="005E4E0B">
        <w:t>auraient</w:t>
      </w:r>
      <w:r w:rsidR="002E280C" w:rsidRPr="005E4E0B">
        <w:t xml:space="preserve"> cessé</w:t>
      </w:r>
      <w:r w:rsidR="00BF2862" w:rsidRPr="005E4E0B">
        <w:t xml:space="preserve"> de fréquenter</w:t>
      </w:r>
      <w:r w:rsidR="002E280C" w:rsidRPr="005E4E0B">
        <w:t xml:space="preserve"> l</w:t>
      </w:r>
      <w:r w:rsidR="00C419B2">
        <w:t>’</w:t>
      </w:r>
      <w:r w:rsidR="002E280C" w:rsidRPr="005E4E0B">
        <w:t>école en</w:t>
      </w:r>
      <w:r w:rsidR="002E280C">
        <w:t xml:space="preserve"> 2009-2010</w:t>
      </w:r>
      <w:r w:rsidR="00833822">
        <w:t xml:space="preserve">, </w:t>
      </w:r>
      <w:r w:rsidR="00BF2862">
        <w:t>peu</w:t>
      </w:r>
      <w:r w:rsidR="00833822">
        <w:t xml:space="preserve"> après leur inscription</w:t>
      </w:r>
      <w:r w:rsidR="002E280C">
        <w:t>.</w:t>
      </w:r>
      <w:r w:rsidR="00833822">
        <w:t xml:space="preserve"> Il s</w:t>
      </w:r>
      <w:r w:rsidR="00C419B2">
        <w:t>’</w:t>
      </w:r>
      <w:r w:rsidR="00833822">
        <w:t>ensui</w:t>
      </w:r>
      <w:r w:rsidR="005E4E0B">
        <w:t>vrai</w:t>
      </w:r>
      <w:r w:rsidR="00833822">
        <w:t>t qu</w:t>
      </w:r>
      <w:r w:rsidR="00BF2862">
        <w:t xml:space="preserve">e, </w:t>
      </w:r>
      <w:r w:rsidR="00833822">
        <w:t xml:space="preserve">au moment des </w:t>
      </w:r>
      <w:r w:rsidR="00833822" w:rsidRPr="005E4E0B">
        <w:t>faits, les conditions de scolarisation dans la 12</w:t>
      </w:r>
      <w:r w:rsidR="00833822" w:rsidRPr="005E4E0B">
        <w:rPr>
          <w:vertAlign w:val="superscript"/>
        </w:rPr>
        <w:t>e</w:t>
      </w:r>
      <w:r w:rsidR="00CB71D8" w:rsidRPr="005E4E0B">
        <w:t> </w:t>
      </w:r>
      <w:r w:rsidR="00833822" w:rsidRPr="005E4E0B">
        <w:t>école ne pouvai</w:t>
      </w:r>
      <w:r w:rsidR="00ED2A38" w:rsidRPr="005E4E0B">
        <w:t>en</w:t>
      </w:r>
      <w:r w:rsidR="00833822" w:rsidRPr="005E4E0B">
        <w:t>t avoir un quelconque impact sur l</w:t>
      </w:r>
      <w:r w:rsidR="00C419B2">
        <w:t>’</w:t>
      </w:r>
      <w:r w:rsidR="00833822" w:rsidRPr="005E4E0B">
        <w:t>instruction.</w:t>
      </w:r>
      <w:r w:rsidR="00ED2A38" w:rsidRPr="005E4E0B">
        <w:t xml:space="preserve"> Aucun des élèves requérants ne s</w:t>
      </w:r>
      <w:r w:rsidR="00BF2862" w:rsidRPr="005E4E0B">
        <w:t>e serait</w:t>
      </w:r>
      <w:r w:rsidR="00ED2A38" w:rsidRPr="005E4E0B">
        <w:t xml:space="preserve"> vu refus</w:t>
      </w:r>
      <w:r w:rsidR="00BF2862" w:rsidRPr="005E4E0B">
        <w:t>er</w:t>
      </w:r>
      <w:r w:rsidR="00ED2A38" w:rsidRPr="005E4E0B">
        <w:t xml:space="preserve"> l</w:t>
      </w:r>
      <w:r w:rsidR="00C419B2">
        <w:t>’</w:t>
      </w:r>
      <w:r w:rsidR="00ED2A38" w:rsidRPr="005E4E0B">
        <w:t>accès à l</w:t>
      </w:r>
      <w:r w:rsidR="00C419B2">
        <w:t>’</w:t>
      </w:r>
      <w:r w:rsidR="00ED2A38" w:rsidRPr="005E4E0B">
        <w:t>école faute d</w:t>
      </w:r>
      <w:r w:rsidR="00FF0078" w:rsidRPr="005E4E0B">
        <w:t>e place</w:t>
      </w:r>
      <w:r w:rsidR="00ED2A38" w:rsidRPr="005E4E0B">
        <w:t>. Le véritable problème de l</w:t>
      </w:r>
      <w:r w:rsidR="00C419B2">
        <w:t>’</w:t>
      </w:r>
      <w:r w:rsidR="00ED2A38" w:rsidRPr="005E4E0B">
        <w:t xml:space="preserve">école </w:t>
      </w:r>
      <w:r w:rsidR="00BF2862" w:rsidRPr="005E4E0B">
        <w:t>aurait été l</w:t>
      </w:r>
      <w:r w:rsidR="00C419B2">
        <w:t>’</w:t>
      </w:r>
      <w:r w:rsidR="00ED2A38" w:rsidRPr="005E4E0B">
        <w:t xml:space="preserve">absentéisme et non </w:t>
      </w:r>
      <w:r w:rsidR="005E4E0B">
        <w:t>une</w:t>
      </w:r>
      <w:r w:rsidR="00BF2862" w:rsidRPr="005E4E0B">
        <w:t xml:space="preserve"> surcharge</w:t>
      </w:r>
      <w:r w:rsidR="00ED2A38">
        <w:t xml:space="preserve"> des classes.</w:t>
      </w:r>
      <w:r w:rsidR="0081770C">
        <w:t xml:space="preserve"> </w:t>
      </w:r>
      <w:r w:rsidR="005E4E0B">
        <w:t>Le choix fait par</w:t>
      </w:r>
      <w:r w:rsidR="0081770C">
        <w:t xml:space="preserve"> certains élèves </w:t>
      </w:r>
      <w:r w:rsidR="005E4E0B">
        <w:t>en faveur d</w:t>
      </w:r>
      <w:r w:rsidR="00C419B2">
        <w:t>’</w:t>
      </w:r>
      <w:r w:rsidR="0081770C">
        <w:t xml:space="preserve">une scolarité défaillante ou même </w:t>
      </w:r>
      <w:r w:rsidR="005E4E0B">
        <w:t>de</w:t>
      </w:r>
      <w:r w:rsidR="0081770C">
        <w:t xml:space="preserve"> l</w:t>
      </w:r>
      <w:r w:rsidR="00C419B2">
        <w:t>’</w:t>
      </w:r>
      <w:r w:rsidR="0081770C">
        <w:t>abandon total de celle-ci, ce qui a</w:t>
      </w:r>
      <w:r w:rsidR="00FF0078">
        <w:t>urait</w:t>
      </w:r>
      <w:r w:rsidR="0081770C">
        <w:t xml:space="preserve"> affecté leur niveau d</w:t>
      </w:r>
      <w:r w:rsidR="00C419B2">
        <w:t>’</w:t>
      </w:r>
      <w:r w:rsidR="0081770C">
        <w:t>études, ne peut en aucun cas</w:t>
      </w:r>
      <w:r w:rsidR="00FF0078">
        <w:t>, d</w:t>
      </w:r>
      <w:r w:rsidR="00C419B2">
        <w:t>’</w:t>
      </w:r>
      <w:r w:rsidR="00FF0078">
        <w:t>après le Gouvernement,</w:t>
      </w:r>
      <w:r w:rsidR="0081770C">
        <w:t xml:space="preserve"> être considéré comme le résultat d</w:t>
      </w:r>
      <w:r w:rsidR="00C419B2">
        <w:t>’</w:t>
      </w:r>
      <w:r w:rsidR="0081770C">
        <w:t>un comportement discriminatoire des autorités à leur égard.</w:t>
      </w:r>
    </w:p>
    <w:p w:rsidR="00900F2F" w:rsidRDefault="00970717" w:rsidP="00076451">
      <w:pPr>
        <w:pStyle w:val="JuPara"/>
      </w:pPr>
      <w:r>
        <w:fldChar w:fldCharType="begin"/>
      </w:r>
      <w:r>
        <w:instrText xml:space="preserve"> SEQ level0 \*arabic </w:instrText>
      </w:r>
      <w:r>
        <w:fldChar w:fldCharType="separate"/>
      </w:r>
      <w:r w:rsidR="00E555B3">
        <w:rPr>
          <w:noProof/>
        </w:rPr>
        <w:t>67</w:t>
      </w:r>
      <w:r>
        <w:fldChar w:fldCharType="end"/>
      </w:r>
      <w:r>
        <w:t>.  </w:t>
      </w:r>
      <w:r w:rsidR="00900F2F">
        <w:t xml:space="preserve">Le Gouvernement </w:t>
      </w:r>
      <w:r w:rsidR="007E5003">
        <w:t xml:space="preserve">soutient </w:t>
      </w:r>
      <w:r w:rsidR="005E4E0B">
        <w:t xml:space="preserve">également </w:t>
      </w:r>
      <w:r w:rsidR="007E5003">
        <w:t xml:space="preserve">que </w:t>
      </w:r>
      <w:r w:rsidR="00DB2473">
        <w:t xml:space="preserve">les </w:t>
      </w:r>
      <w:r w:rsidR="007E5003">
        <w:t xml:space="preserve">requérants </w:t>
      </w:r>
      <w:r w:rsidR="00DB2473">
        <w:t xml:space="preserve">avancent des arguments </w:t>
      </w:r>
      <w:r w:rsidR="007E5003">
        <w:t>confus et contradictoires</w:t>
      </w:r>
      <w:r w:rsidR="00DB2473">
        <w:t xml:space="preserve"> et qu</w:t>
      </w:r>
      <w:r w:rsidR="00C419B2">
        <w:t>’</w:t>
      </w:r>
      <w:r w:rsidR="00DB2473">
        <w:t>ils</w:t>
      </w:r>
      <w:r w:rsidR="007E5003">
        <w:t xml:space="preserve"> justifient leur refus de s</w:t>
      </w:r>
      <w:r w:rsidR="00C419B2">
        <w:t>’</w:t>
      </w:r>
      <w:r w:rsidR="007E5003">
        <w:t>inscrire à la 12</w:t>
      </w:r>
      <w:r w:rsidR="007E5003" w:rsidRPr="007E5003">
        <w:rPr>
          <w:vertAlign w:val="superscript"/>
        </w:rPr>
        <w:t>e</w:t>
      </w:r>
      <w:r w:rsidR="007E5003">
        <w:t xml:space="preserve"> école pour l</w:t>
      </w:r>
      <w:r w:rsidR="00C419B2">
        <w:t>’</w:t>
      </w:r>
      <w:r w:rsidR="007E5003">
        <w:t xml:space="preserve">année 2008-2009 par </w:t>
      </w:r>
      <w:r w:rsidR="00DB2473">
        <w:t>l</w:t>
      </w:r>
      <w:r w:rsidR="00C419B2">
        <w:t>’</w:t>
      </w:r>
      <w:r w:rsidR="00DB2473">
        <w:t>offre de</w:t>
      </w:r>
      <w:r w:rsidR="007E5003">
        <w:t xml:space="preserve"> conditions </w:t>
      </w:r>
      <w:r w:rsidR="00DB2473">
        <w:t xml:space="preserve">de scolarisation prétendument </w:t>
      </w:r>
      <w:r w:rsidR="007E5003">
        <w:t xml:space="preserve">défaillantes ; </w:t>
      </w:r>
      <w:r w:rsidR="00DB2473">
        <w:t>or</w:t>
      </w:r>
      <w:r w:rsidR="007E5003">
        <w:t>,</w:t>
      </w:r>
      <w:r w:rsidR="00DB2473">
        <w:t xml:space="preserve"> aux dires du Gouvernement,</w:t>
      </w:r>
      <w:r w:rsidR="007E5003">
        <w:t xml:space="preserve"> si cela était vrai, </w:t>
      </w:r>
      <w:r w:rsidR="00BA640F">
        <w:t xml:space="preserve">ils auraient dû </w:t>
      </w:r>
      <w:r w:rsidR="00DB2473">
        <w:t>également refuser de s</w:t>
      </w:r>
      <w:r w:rsidR="00C419B2">
        <w:t>’</w:t>
      </w:r>
      <w:r w:rsidR="00DB2473">
        <w:t>inscrire</w:t>
      </w:r>
      <w:r w:rsidR="00BA640F">
        <w:t xml:space="preserve"> pour l</w:t>
      </w:r>
      <w:r w:rsidR="00C419B2">
        <w:t>’</w:t>
      </w:r>
      <w:r w:rsidR="00BA640F">
        <w:t>année 2009-2010</w:t>
      </w:r>
      <w:r w:rsidR="00DB2473">
        <w:t>, ce qui n</w:t>
      </w:r>
      <w:r w:rsidR="00C419B2">
        <w:t>’</w:t>
      </w:r>
      <w:r w:rsidR="00DB2473">
        <w:t>aurait pas été le cas</w:t>
      </w:r>
      <w:r w:rsidR="00BA640F">
        <w:t>.</w:t>
      </w:r>
      <w:r w:rsidR="004077B5">
        <w:t xml:space="preserve"> En outre, les requérants </w:t>
      </w:r>
      <w:r w:rsidR="002A1525">
        <w:t xml:space="preserve">auraient affirmé être </w:t>
      </w:r>
      <w:r w:rsidR="004077B5">
        <w:t xml:space="preserve">gênés par </w:t>
      </w:r>
      <w:r w:rsidR="002A1525">
        <w:t xml:space="preserve">une fréquentation exclusive de </w:t>
      </w:r>
      <w:r w:rsidR="004077B5">
        <w:t xml:space="preserve">leur école </w:t>
      </w:r>
      <w:r w:rsidR="00D142CB">
        <w:t xml:space="preserve">par des </w:t>
      </w:r>
      <w:r w:rsidR="002A1525">
        <w:t>R</w:t>
      </w:r>
      <w:r w:rsidR="00D142CB">
        <w:t>oms ;</w:t>
      </w:r>
      <w:r w:rsidR="004077B5">
        <w:t xml:space="preserve"> </w:t>
      </w:r>
      <w:r w:rsidR="002A1525">
        <w:t>cependant, d</w:t>
      </w:r>
      <w:r w:rsidR="00C419B2">
        <w:t>’</w:t>
      </w:r>
      <w:r w:rsidR="002A1525">
        <w:t xml:space="preserve">après le Gouvernement, </w:t>
      </w:r>
      <w:r w:rsidR="00B043F6">
        <w:t>i</w:t>
      </w:r>
      <w:r w:rsidR="004077B5">
        <w:t xml:space="preserve">ls </w:t>
      </w:r>
      <w:r w:rsidR="002A1525">
        <w:t>se sont déclarés</w:t>
      </w:r>
      <w:r w:rsidR="004077B5">
        <w:t xml:space="preserve"> disposés </w:t>
      </w:r>
      <w:r w:rsidR="002A1525">
        <w:t xml:space="preserve">à </w:t>
      </w:r>
      <w:r w:rsidR="004077B5">
        <w:t xml:space="preserve">avoir une école </w:t>
      </w:r>
      <w:r w:rsidR="002A1525">
        <w:t>à l</w:t>
      </w:r>
      <w:r w:rsidR="00C419B2">
        <w:t>’</w:t>
      </w:r>
      <w:r w:rsidR="002A1525">
        <w:t>intérieur de</w:t>
      </w:r>
      <w:r w:rsidR="004077B5">
        <w:t xml:space="preserve"> leur campement.</w:t>
      </w:r>
    </w:p>
    <w:p w:rsidR="001C1F03" w:rsidRDefault="00970717" w:rsidP="00076451">
      <w:pPr>
        <w:pStyle w:val="JuPara"/>
      </w:pPr>
      <w:r>
        <w:fldChar w:fldCharType="begin"/>
      </w:r>
      <w:r>
        <w:instrText xml:space="preserve"> SEQ level0 \*arabic </w:instrText>
      </w:r>
      <w:r>
        <w:fldChar w:fldCharType="separate"/>
      </w:r>
      <w:r w:rsidR="00E555B3">
        <w:rPr>
          <w:noProof/>
        </w:rPr>
        <w:t>68</w:t>
      </w:r>
      <w:r>
        <w:fldChar w:fldCharType="end"/>
      </w:r>
      <w:r>
        <w:t>.  </w:t>
      </w:r>
      <w:r w:rsidR="00AA3CC6">
        <w:t xml:space="preserve">Le Gouvernement déplore </w:t>
      </w:r>
      <w:r w:rsidR="005E4E0B">
        <w:t xml:space="preserve">de plus </w:t>
      </w:r>
      <w:r w:rsidR="00AA3CC6">
        <w:t xml:space="preserve">les actes de violence </w:t>
      </w:r>
      <w:r w:rsidR="00904E4D">
        <w:t>ayant</w:t>
      </w:r>
      <w:r w:rsidR="00AA3CC6">
        <w:t xml:space="preserve"> endommagé le bâtiment de la 12</w:t>
      </w:r>
      <w:r w:rsidR="00AA3CC6" w:rsidRPr="00AA3CC6">
        <w:rPr>
          <w:vertAlign w:val="superscript"/>
        </w:rPr>
        <w:t>e</w:t>
      </w:r>
      <w:r w:rsidR="00AA3CC6">
        <w:t xml:space="preserve"> école. </w:t>
      </w:r>
      <w:r w:rsidR="00904E4D">
        <w:t>Il indique à cet égard</w:t>
      </w:r>
      <w:r w:rsidR="00AA3CC6">
        <w:t xml:space="preserve"> que les autorités régionales ont réagi immédiatement et remplacé les installations et le matériel, de sorte qu</w:t>
      </w:r>
      <w:r w:rsidR="00C419B2">
        <w:t>’</w:t>
      </w:r>
      <w:r w:rsidR="00AA3CC6">
        <w:t>à la rentrée des classes</w:t>
      </w:r>
      <w:r w:rsidR="005E4E0B">
        <w:t>,</w:t>
      </w:r>
      <w:r w:rsidR="00AA3CC6">
        <w:t xml:space="preserve"> en 2008, l</w:t>
      </w:r>
      <w:r w:rsidR="00C419B2">
        <w:t>’</w:t>
      </w:r>
      <w:r w:rsidR="00AA3CC6">
        <w:t xml:space="preserve">école </w:t>
      </w:r>
      <w:r w:rsidR="003769D9">
        <w:t>ét</w:t>
      </w:r>
      <w:r w:rsidR="00904E4D">
        <w:t xml:space="preserve">ait </w:t>
      </w:r>
      <w:r w:rsidR="00AA3CC6">
        <w:t>opérationnelle.</w:t>
      </w:r>
    </w:p>
    <w:p w:rsidR="007A17DF" w:rsidRDefault="00970717" w:rsidP="00076451">
      <w:pPr>
        <w:pStyle w:val="JuPara"/>
      </w:pPr>
      <w:r>
        <w:fldChar w:fldCharType="begin"/>
      </w:r>
      <w:r>
        <w:instrText xml:space="preserve"> SEQ level0 \*arabic </w:instrText>
      </w:r>
      <w:r>
        <w:fldChar w:fldCharType="separate"/>
      </w:r>
      <w:r w:rsidR="00E555B3">
        <w:rPr>
          <w:noProof/>
        </w:rPr>
        <w:t>69</w:t>
      </w:r>
      <w:r>
        <w:fldChar w:fldCharType="end"/>
      </w:r>
      <w:r>
        <w:t>.  </w:t>
      </w:r>
      <w:r w:rsidR="00A15D39">
        <w:t>L</w:t>
      </w:r>
      <w:r w:rsidR="003C04CD">
        <w:t>e G</w:t>
      </w:r>
      <w:r w:rsidR="007A17DF">
        <w:t xml:space="preserve">ouvernement </w:t>
      </w:r>
      <w:r w:rsidR="00CB0DAA">
        <w:t>précise</w:t>
      </w:r>
      <w:r w:rsidR="007A17DF">
        <w:t xml:space="preserve"> </w:t>
      </w:r>
      <w:r w:rsidR="005E4E0B">
        <w:t xml:space="preserve">enfin </w:t>
      </w:r>
      <w:r w:rsidR="007A17DF">
        <w:t>que la 12</w:t>
      </w:r>
      <w:r w:rsidR="007A17DF" w:rsidRPr="007A17DF">
        <w:rPr>
          <w:vertAlign w:val="superscript"/>
        </w:rPr>
        <w:t>e</w:t>
      </w:r>
      <w:r w:rsidR="007A17DF">
        <w:t xml:space="preserve"> école n</w:t>
      </w:r>
      <w:r w:rsidR="00C419B2">
        <w:t>’</w:t>
      </w:r>
      <w:r w:rsidR="007A17DF">
        <w:t>est pas la seule à accueillir des élèves d</w:t>
      </w:r>
      <w:r w:rsidR="00C419B2">
        <w:t>’</w:t>
      </w:r>
      <w:r w:rsidR="007A17DF">
        <w:t>origine rom dans la région d</w:t>
      </w:r>
      <w:r w:rsidR="00C419B2">
        <w:t>’</w:t>
      </w:r>
      <w:r w:rsidR="007A17DF">
        <w:t>Aspropyrgos</w:t>
      </w:r>
      <w:r w:rsidR="00CB0DAA">
        <w:t xml:space="preserve"> et que d</w:t>
      </w:r>
      <w:r w:rsidR="00C419B2">
        <w:t>’</w:t>
      </w:r>
      <w:r w:rsidR="007A17DF">
        <w:t>autres écoles</w:t>
      </w:r>
      <w:r w:rsidR="00CB0DAA">
        <w:t>,</w:t>
      </w:r>
      <w:r w:rsidR="007A17DF">
        <w:t xml:space="preserve"> </w:t>
      </w:r>
      <w:r w:rsidR="00CB0DAA">
        <w:t xml:space="preserve">dont </w:t>
      </w:r>
      <w:r w:rsidR="007A17DF">
        <w:t xml:space="preserve">la population scolaire </w:t>
      </w:r>
      <w:r w:rsidR="00CB0DAA">
        <w:t xml:space="preserve">serait </w:t>
      </w:r>
      <w:r w:rsidR="007A17DF">
        <w:t>mixte</w:t>
      </w:r>
      <w:r w:rsidR="00D142CB">
        <w:t xml:space="preserve"> et en grande majorité d</w:t>
      </w:r>
      <w:r w:rsidR="00C419B2">
        <w:t>’</w:t>
      </w:r>
      <w:r w:rsidR="00D142CB">
        <w:t>origine rom</w:t>
      </w:r>
      <w:r w:rsidR="00483ED8">
        <w:t xml:space="preserve">, </w:t>
      </w:r>
      <w:r w:rsidR="00CB0DAA">
        <w:t>comme</w:t>
      </w:r>
      <w:r w:rsidR="00483ED8">
        <w:t xml:space="preserve"> la 7</w:t>
      </w:r>
      <w:r w:rsidR="00483ED8" w:rsidRPr="00483ED8">
        <w:rPr>
          <w:vertAlign w:val="superscript"/>
        </w:rPr>
        <w:t>e</w:t>
      </w:r>
      <w:r w:rsidR="00483ED8">
        <w:t xml:space="preserve"> école,</w:t>
      </w:r>
      <w:r w:rsidR="00D142CB">
        <w:t xml:space="preserve"> fonctionnent de manière satisfaisante</w:t>
      </w:r>
      <w:r w:rsidR="007A17DF">
        <w:t>.</w:t>
      </w:r>
    </w:p>
    <w:p w:rsidR="00A15D39" w:rsidRPr="005106E2" w:rsidRDefault="00A15D39" w:rsidP="00076451">
      <w:pPr>
        <w:pStyle w:val="JuPara"/>
      </w:pPr>
      <w:r w:rsidRPr="005106E2">
        <w:fldChar w:fldCharType="begin"/>
      </w:r>
      <w:r w:rsidRPr="005106E2">
        <w:instrText xml:space="preserve"> SEQ level0 \*arabic </w:instrText>
      </w:r>
      <w:r w:rsidRPr="005106E2">
        <w:fldChar w:fldCharType="separate"/>
      </w:r>
      <w:r w:rsidR="00E555B3">
        <w:rPr>
          <w:noProof/>
        </w:rPr>
        <w:t>70</w:t>
      </w:r>
      <w:r w:rsidRPr="005106E2">
        <w:fldChar w:fldCharType="end"/>
      </w:r>
      <w:r w:rsidRPr="005106E2">
        <w:t>.  </w:t>
      </w:r>
      <w:r w:rsidR="00CB0DAA" w:rsidRPr="005106E2">
        <w:t>Il</w:t>
      </w:r>
      <w:r w:rsidRPr="005106E2">
        <w:t xml:space="preserve"> conclut que la 12</w:t>
      </w:r>
      <w:r w:rsidRPr="005106E2">
        <w:rPr>
          <w:vertAlign w:val="superscript"/>
        </w:rPr>
        <w:t>e</w:t>
      </w:r>
      <w:r w:rsidRPr="005106E2">
        <w:t xml:space="preserve"> école est une école publique ordinaire, </w:t>
      </w:r>
      <w:r w:rsidR="005106E2" w:rsidRPr="005106E2">
        <w:t>pourvue, en pratique et dans les textes,</w:t>
      </w:r>
      <w:r w:rsidRPr="005106E2">
        <w:t xml:space="preserve"> de toutes les caractéristiques d</w:t>
      </w:r>
      <w:r w:rsidR="00C419B2">
        <w:t>’</w:t>
      </w:r>
      <w:r w:rsidRPr="005106E2">
        <w:t xml:space="preserve">une telle école et accordant à ses élèves </w:t>
      </w:r>
      <w:r w:rsidR="00CB0DAA" w:rsidRPr="005106E2">
        <w:t>toutes les</w:t>
      </w:r>
      <w:r w:rsidRPr="005106E2">
        <w:t xml:space="preserve"> chance</w:t>
      </w:r>
      <w:r w:rsidR="00CB0DAA" w:rsidRPr="005106E2">
        <w:t>s</w:t>
      </w:r>
      <w:r w:rsidRPr="005106E2">
        <w:t xml:space="preserve"> d</w:t>
      </w:r>
      <w:r w:rsidR="00C419B2">
        <w:t>’</w:t>
      </w:r>
      <w:r w:rsidRPr="005106E2">
        <w:t>achever leurs études primaires.</w:t>
      </w:r>
    </w:p>
    <w:p w:rsidR="00AA3CC6" w:rsidRPr="005106E2" w:rsidRDefault="00AA3CC6" w:rsidP="00AA3CC6">
      <w:pPr>
        <w:pStyle w:val="JuHa0"/>
      </w:pPr>
      <w:r w:rsidRPr="005106E2">
        <w:t>b)  </w:t>
      </w:r>
      <w:r w:rsidR="00B4617B" w:rsidRPr="005106E2">
        <w:t>Les r</w:t>
      </w:r>
      <w:r w:rsidRPr="005106E2">
        <w:t>equérants</w:t>
      </w:r>
    </w:p>
    <w:p w:rsidR="00B136CA" w:rsidRDefault="00970717" w:rsidP="00076451">
      <w:pPr>
        <w:pStyle w:val="JuPara"/>
      </w:pPr>
      <w:r w:rsidRPr="005106E2">
        <w:fldChar w:fldCharType="begin"/>
      </w:r>
      <w:r w:rsidRPr="005106E2">
        <w:instrText xml:space="preserve"> SEQ level0 \*arabic </w:instrText>
      </w:r>
      <w:r w:rsidRPr="005106E2">
        <w:fldChar w:fldCharType="separate"/>
      </w:r>
      <w:r w:rsidR="00E555B3">
        <w:rPr>
          <w:noProof/>
        </w:rPr>
        <w:t>71</w:t>
      </w:r>
      <w:r w:rsidRPr="005106E2">
        <w:fldChar w:fldCharType="end"/>
      </w:r>
      <w:r w:rsidRPr="005106E2">
        <w:t>.  </w:t>
      </w:r>
      <w:r w:rsidR="00A3439E" w:rsidRPr="005106E2">
        <w:t>Les requérants soutiennent qu</w:t>
      </w:r>
      <w:r w:rsidR="00C419B2">
        <w:t>’</w:t>
      </w:r>
      <w:r w:rsidR="00A3439E" w:rsidRPr="005106E2">
        <w:t>ils se trouvent dans une situation qui</w:t>
      </w:r>
      <w:r w:rsidR="00A3439E">
        <w:t xml:space="preserve"> </w:t>
      </w:r>
      <w:r w:rsidR="00992002">
        <w:t>serait le prolongement de</w:t>
      </w:r>
      <w:r w:rsidR="005E4E0B">
        <w:t xml:space="preserve"> </w:t>
      </w:r>
      <w:r w:rsidR="00A3439E">
        <w:t xml:space="preserve">celle déclarée </w:t>
      </w:r>
      <w:r w:rsidR="00CB0DAA">
        <w:t xml:space="preserve">comme </w:t>
      </w:r>
      <w:r w:rsidR="00A3439E">
        <w:t>contraire à l</w:t>
      </w:r>
      <w:r w:rsidR="00CA61EA">
        <w:t xml:space="preserve">a Convention et au </w:t>
      </w:r>
      <w:r w:rsidR="00992002">
        <w:t>Protocole </w:t>
      </w:r>
      <w:r w:rsidR="00CA61EA">
        <w:t>n</w:t>
      </w:r>
      <w:r w:rsidR="009202F2" w:rsidRPr="009202F2">
        <w:rPr>
          <w:vertAlign w:val="superscript"/>
        </w:rPr>
        <w:t>o</w:t>
      </w:r>
      <w:r w:rsidR="00CA61EA">
        <w:t> </w:t>
      </w:r>
      <w:r w:rsidR="00A3439E">
        <w:t>1 par l</w:t>
      </w:r>
      <w:r w:rsidR="00C419B2">
        <w:t>’</w:t>
      </w:r>
      <w:r w:rsidR="00A3439E">
        <w:t xml:space="preserve">arrêt </w:t>
      </w:r>
      <w:r w:rsidR="00A3439E" w:rsidRPr="003C04CD">
        <w:rPr>
          <w:i/>
        </w:rPr>
        <w:t xml:space="preserve">Sampanis et autres </w:t>
      </w:r>
      <w:r w:rsidR="00CB0DAA">
        <w:t>(</w:t>
      </w:r>
      <w:r w:rsidR="00A3439E">
        <w:t>précité</w:t>
      </w:r>
      <w:r w:rsidR="00CB0DAA">
        <w:t>)</w:t>
      </w:r>
      <w:r w:rsidR="00A3439E">
        <w:t xml:space="preserve">. </w:t>
      </w:r>
      <w:r w:rsidR="00CB0DAA">
        <w:t>I</w:t>
      </w:r>
      <w:r w:rsidR="00A3439E">
        <w:t>ls continue</w:t>
      </w:r>
      <w:r w:rsidR="00CB0DAA">
        <w:t>raient</w:t>
      </w:r>
      <w:r w:rsidR="00A3439E">
        <w:t xml:space="preserve"> à être</w:t>
      </w:r>
      <w:r w:rsidR="00F434CA">
        <w:t xml:space="preserve"> </w:t>
      </w:r>
      <w:r w:rsidR="00A3439E">
        <w:t xml:space="preserve">placés </w:t>
      </w:r>
      <w:r w:rsidR="00F434CA">
        <w:t>dans des classes spéciales ne correspond</w:t>
      </w:r>
      <w:r w:rsidR="00CB0DAA">
        <w:t>a</w:t>
      </w:r>
      <w:r w:rsidR="00F434CA">
        <w:t xml:space="preserve">nt pas à la structure éducative classique </w:t>
      </w:r>
      <w:r w:rsidR="00A3439E">
        <w:t xml:space="preserve">de six classes pour le primaire, </w:t>
      </w:r>
      <w:r w:rsidR="00CB0DAA">
        <w:t>à l</w:t>
      </w:r>
      <w:r w:rsidR="00C419B2">
        <w:t>’</w:t>
      </w:r>
      <w:r w:rsidR="00CB0DAA">
        <w:t xml:space="preserve">étroit </w:t>
      </w:r>
      <w:r w:rsidR="0085783B">
        <w:t>dans un bâtiment préfabriqué</w:t>
      </w:r>
      <w:r w:rsidR="005E4E0B">
        <w:t xml:space="preserve"> – qui aurait</w:t>
      </w:r>
      <w:r w:rsidR="0085783B">
        <w:t xml:space="preserve"> été rebaptisé « 12</w:t>
      </w:r>
      <w:r w:rsidR="0085783B" w:rsidRPr="0085783B">
        <w:rPr>
          <w:vertAlign w:val="superscript"/>
        </w:rPr>
        <w:t>e</w:t>
      </w:r>
      <w:r w:rsidR="0085783B">
        <w:t xml:space="preserve"> école primaire »</w:t>
      </w:r>
      <w:r w:rsidR="005E4E0B">
        <w:t xml:space="preserve"> –</w:t>
      </w:r>
      <w:r w:rsidR="0085783B">
        <w:t xml:space="preserve"> </w:t>
      </w:r>
      <w:r w:rsidR="00031713">
        <w:t>et sans</w:t>
      </w:r>
      <w:r w:rsidR="00F434CA">
        <w:t xml:space="preserve"> instituteurs </w:t>
      </w:r>
      <w:r w:rsidR="0085783B">
        <w:t xml:space="preserve">compétents. Aucun des </w:t>
      </w:r>
      <w:r w:rsidR="00CB0DAA">
        <w:t>200</w:t>
      </w:r>
      <w:r w:rsidR="0085783B">
        <w:t xml:space="preserve"> élèves inscrits à l</w:t>
      </w:r>
      <w:r w:rsidR="00C419B2">
        <w:t>’</w:t>
      </w:r>
      <w:r w:rsidR="0085783B">
        <w:t>école n</w:t>
      </w:r>
      <w:r w:rsidR="00CB0DAA">
        <w:t>e serait</w:t>
      </w:r>
      <w:r w:rsidR="0085783B">
        <w:t xml:space="preserve"> jamais </w:t>
      </w:r>
      <w:r w:rsidR="00031713">
        <w:t>arrivé au terme de sa scolarité.</w:t>
      </w:r>
    </w:p>
    <w:p w:rsidR="00714D27" w:rsidRDefault="00970717" w:rsidP="00076451">
      <w:pPr>
        <w:pStyle w:val="JuPara"/>
      </w:pPr>
      <w:r>
        <w:fldChar w:fldCharType="begin"/>
      </w:r>
      <w:r>
        <w:instrText xml:space="preserve"> SEQ level0 \*arabic </w:instrText>
      </w:r>
      <w:r>
        <w:fldChar w:fldCharType="separate"/>
      </w:r>
      <w:r w:rsidR="00E555B3">
        <w:rPr>
          <w:noProof/>
        </w:rPr>
        <w:t>72</w:t>
      </w:r>
      <w:r>
        <w:fldChar w:fldCharType="end"/>
      </w:r>
      <w:r>
        <w:t>.  </w:t>
      </w:r>
      <w:r w:rsidR="00714D27">
        <w:t xml:space="preserve">Les requérants affirment </w:t>
      </w:r>
      <w:r w:rsidR="009F6A33">
        <w:t>en outre qu</w:t>
      </w:r>
      <w:r w:rsidR="00C419B2">
        <w:t>’</w:t>
      </w:r>
      <w:r w:rsidR="009F6A33">
        <w:t>ils n</w:t>
      </w:r>
      <w:r w:rsidR="00C419B2">
        <w:t>’</w:t>
      </w:r>
      <w:r w:rsidR="009F6A33">
        <w:t>ont</w:t>
      </w:r>
      <w:r w:rsidR="009A7A92">
        <w:t xml:space="preserve"> </w:t>
      </w:r>
      <w:r w:rsidR="00714D27">
        <w:t xml:space="preserve">à aucun moment </w:t>
      </w:r>
      <w:r w:rsidR="009A7A92">
        <w:t>reconnu avoir</w:t>
      </w:r>
      <w:r w:rsidR="00714D27">
        <w:t xml:space="preserve"> cessé les cours en 2009 peu après leur inscription à l</w:t>
      </w:r>
      <w:r w:rsidR="00C419B2">
        <w:t>’</w:t>
      </w:r>
      <w:r w:rsidR="00714D27">
        <w:t>école. Ils n</w:t>
      </w:r>
      <w:r w:rsidR="00C419B2">
        <w:t>’</w:t>
      </w:r>
      <w:r w:rsidR="009F6A33">
        <w:t>auraient</w:t>
      </w:r>
      <w:r w:rsidR="00714D27">
        <w:t xml:space="preserve"> pas non plus choisi de s</w:t>
      </w:r>
      <w:r w:rsidR="00C419B2">
        <w:t>’</w:t>
      </w:r>
      <w:r w:rsidR="00714D27">
        <w:t>inscrire à la 12</w:t>
      </w:r>
      <w:r w:rsidR="00714D27" w:rsidRPr="00714D27">
        <w:rPr>
          <w:vertAlign w:val="superscript"/>
        </w:rPr>
        <w:t>e</w:t>
      </w:r>
      <w:r w:rsidR="00714D27">
        <w:t xml:space="preserve"> </w:t>
      </w:r>
      <w:r w:rsidR="00233687">
        <w:t>école</w:t>
      </w:r>
      <w:r w:rsidR="005E4E0B">
        <w:t>,</w:t>
      </w:r>
      <w:r w:rsidR="00B54CB3">
        <w:t xml:space="preserve"> </w:t>
      </w:r>
      <w:r w:rsidR="005E4E0B">
        <w:t xml:space="preserve">dès lors que </w:t>
      </w:r>
      <w:r w:rsidR="00233687">
        <w:t>la législation grecque exclu</w:t>
      </w:r>
      <w:r w:rsidR="005E4E0B">
        <w:t>rai</w:t>
      </w:r>
      <w:r w:rsidR="00233687">
        <w:t xml:space="preserve">t la possibilité pour les élèves de choisir </w:t>
      </w:r>
      <w:r w:rsidR="00CF65BE">
        <w:t>l</w:t>
      </w:r>
      <w:r w:rsidR="009F6A33">
        <w:t xml:space="preserve">eur </w:t>
      </w:r>
      <w:r w:rsidR="00233687">
        <w:t>école publique.</w:t>
      </w:r>
    </w:p>
    <w:p w:rsidR="00612301" w:rsidRDefault="00970717" w:rsidP="00076451">
      <w:pPr>
        <w:pStyle w:val="JuPara"/>
      </w:pPr>
      <w:r w:rsidRPr="00D74D0A">
        <w:fldChar w:fldCharType="begin"/>
      </w:r>
      <w:r w:rsidRPr="00D74D0A">
        <w:instrText xml:space="preserve"> SEQ level0 \*arabic </w:instrText>
      </w:r>
      <w:r w:rsidRPr="00D74D0A">
        <w:fldChar w:fldCharType="separate"/>
      </w:r>
      <w:r w:rsidR="00E555B3">
        <w:rPr>
          <w:noProof/>
        </w:rPr>
        <w:t>73</w:t>
      </w:r>
      <w:r w:rsidRPr="00D74D0A">
        <w:fldChar w:fldCharType="end"/>
      </w:r>
      <w:r w:rsidRPr="00D74D0A">
        <w:t>.  </w:t>
      </w:r>
      <w:r w:rsidR="00612301" w:rsidRPr="00D74D0A">
        <w:t xml:space="preserve">Les requérants </w:t>
      </w:r>
      <w:r w:rsidR="009F6A33" w:rsidRPr="00D74D0A">
        <w:t xml:space="preserve">précisent </w:t>
      </w:r>
      <w:r w:rsidR="00612301" w:rsidRPr="00D74D0A">
        <w:t>qu</w:t>
      </w:r>
      <w:r w:rsidR="00C419B2">
        <w:t>’</w:t>
      </w:r>
      <w:r w:rsidR="00612301" w:rsidRPr="00D74D0A">
        <w:t>ils voulaient intégrer la 10</w:t>
      </w:r>
      <w:r w:rsidR="00612301" w:rsidRPr="00D74D0A">
        <w:rPr>
          <w:vertAlign w:val="superscript"/>
        </w:rPr>
        <w:t>e</w:t>
      </w:r>
      <w:r w:rsidR="00612301" w:rsidRPr="00D74D0A">
        <w:t xml:space="preserve"> école – et non </w:t>
      </w:r>
      <w:r w:rsidR="00D74D0A" w:rsidRPr="00D74D0A">
        <w:t xml:space="preserve">pas </w:t>
      </w:r>
      <w:r w:rsidR="00612301" w:rsidRPr="00D74D0A">
        <w:t>une annexe de celle-ci – d</w:t>
      </w:r>
      <w:r w:rsidR="00C419B2">
        <w:t>’</w:t>
      </w:r>
      <w:r w:rsidR="005106E2" w:rsidRPr="00D74D0A">
        <w:t>où</w:t>
      </w:r>
      <w:r w:rsidR="00612301" w:rsidRPr="00D74D0A">
        <w:t xml:space="preserve"> certains d</w:t>
      </w:r>
      <w:r w:rsidR="00C419B2">
        <w:t>’</w:t>
      </w:r>
      <w:r w:rsidR="00612301" w:rsidRPr="00D74D0A">
        <w:t xml:space="preserve">entre eux </w:t>
      </w:r>
      <w:r w:rsidR="005E4E0B" w:rsidRPr="00D74D0A">
        <w:t>avaient été</w:t>
      </w:r>
      <w:r w:rsidR="00F56FC5" w:rsidRPr="00D74D0A">
        <w:t xml:space="preserve"> exclus en septembre 2005</w:t>
      </w:r>
      <w:r w:rsidR="00612301" w:rsidRPr="00D74D0A">
        <w:t xml:space="preserve">. </w:t>
      </w:r>
      <w:r w:rsidR="005E4E0B" w:rsidRPr="00D74D0A">
        <w:t>Ils ajoutent qu</w:t>
      </w:r>
      <w:r w:rsidR="00C419B2">
        <w:t>’</w:t>
      </w:r>
      <w:r w:rsidR="005E4E0B" w:rsidRPr="00D74D0A">
        <w:t>ils étaient prêts, s</w:t>
      </w:r>
      <w:r w:rsidR="00612301" w:rsidRPr="00D74D0A">
        <w:t>i cette inscription n</w:t>
      </w:r>
      <w:r w:rsidR="00C419B2">
        <w:t>’</w:t>
      </w:r>
      <w:r w:rsidR="00612301" w:rsidRPr="00D74D0A">
        <w:t xml:space="preserve">était pas immédiatement possible, </w:t>
      </w:r>
      <w:r w:rsidR="005E4E0B" w:rsidRPr="00D74D0A">
        <w:t>à accepter</w:t>
      </w:r>
      <w:r w:rsidR="00612301" w:rsidRPr="00D74D0A">
        <w:t xml:space="preserve"> </w:t>
      </w:r>
      <w:r w:rsidR="005E4E0B" w:rsidRPr="00D74D0A">
        <w:t>en attendant</w:t>
      </w:r>
      <w:r w:rsidR="003C04CD" w:rsidRPr="00D74D0A">
        <w:t xml:space="preserve"> de suivre des cours dans le bâtiment préfabriqué</w:t>
      </w:r>
      <w:r w:rsidR="005E4E0B" w:rsidRPr="00D74D0A">
        <w:t>,</w:t>
      </w:r>
      <w:r w:rsidR="003C04CD" w:rsidRPr="00D74D0A">
        <w:t xml:space="preserve"> à condition que celui-ci </w:t>
      </w:r>
      <w:r w:rsidR="00AC2984" w:rsidRPr="00D74D0A">
        <w:t>fût</w:t>
      </w:r>
      <w:r w:rsidR="003C04CD" w:rsidRPr="00D74D0A">
        <w:t xml:space="preserve"> placé plus</w:t>
      </w:r>
      <w:r w:rsidR="003C04CD" w:rsidRPr="005E4E0B">
        <w:t xml:space="preserve"> près du campement afin d</w:t>
      </w:r>
      <w:r w:rsidR="00C419B2">
        <w:t>’</w:t>
      </w:r>
      <w:r w:rsidR="003C04CD" w:rsidRPr="005E4E0B">
        <w:t xml:space="preserve">éviter aux élèves de traverser un quartier </w:t>
      </w:r>
      <w:r w:rsidR="00506B02" w:rsidRPr="005E4E0B">
        <w:t>dont les</w:t>
      </w:r>
      <w:r w:rsidR="003C04CD" w:rsidRPr="005E4E0B">
        <w:t xml:space="preserve"> habitants </w:t>
      </w:r>
      <w:r w:rsidR="00506B02" w:rsidRPr="005E4E0B">
        <w:t>feraient preuve</w:t>
      </w:r>
      <w:r w:rsidR="00506B02">
        <w:t xml:space="preserve"> d</w:t>
      </w:r>
      <w:r w:rsidR="00C419B2">
        <w:t>’</w:t>
      </w:r>
      <w:r w:rsidR="00506B02">
        <w:t>hostilité à leur égard</w:t>
      </w:r>
      <w:r w:rsidR="003C04CD">
        <w:t>.</w:t>
      </w:r>
    </w:p>
    <w:p w:rsidR="003C04CD" w:rsidRDefault="00970717" w:rsidP="00076451">
      <w:pPr>
        <w:pStyle w:val="JuPara"/>
      </w:pPr>
      <w:r>
        <w:fldChar w:fldCharType="begin"/>
      </w:r>
      <w:r>
        <w:instrText xml:space="preserve"> SEQ level0 \*arabic </w:instrText>
      </w:r>
      <w:r>
        <w:fldChar w:fldCharType="separate"/>
      </w:r>
      <w:r w:rsidR="00E555B3">
        <w:rPr>
          <w:noProof/>
        </w:rPr>
        <w:t>74</w:t>
      </w:r>
      <w:r>
        <w:fldChar w:fldCharType="end"/>
      </w:r>
      <w:r>
        <w:t>.  </w:t>
      </w:r>
      <w:r w:rsidR="003C04CD">
        <w:t xml:space="preserve">Les requérants </w:t>
      </w:r>
      <w:r w:rsidR="00483ED8">
        <w:t xml:space="preserve">affirment </w:t>
      </w:r>
      <w:r w:rsidR="00506B02">
        <w:t xml:space="preserve">enfin </w:t>
      </w:r>
      <w:r w:rsidR="00483ED8">
        <w:t>que 89</w:t>
      </w:r>
      <w:r w:rsidR="009F6A33">
        <w:t> </w:t>
      </w:r>
      <w:r w:rsidR="00483ED8">
        <w:t>% des élèves de la 7</w:t>
      </w:r>
      <w:r w:rsidR="00483ED8" w:rsidRPr="00483ED8">
        <w:rPr>
          <w:vertAlign w:val="superscript"/>
        </w:rPr>
        <w:t>e</w:t>
      </w:r>
      <w:r w:rsidR="00483ED8">
        <w:t xml:space="preserve"> école sont d</w:t>
      </w:r>
      <w:r w:rsidR="00C419B2">
        <w:t>’</w:t>
      </w:r>
      <w:r w:rsidR="00483ED8">
        <w:t>origine rom, ce qui ne l</w:t>
      </w:r>
      <w:r w:rsidR="009F6A33">
        <w:t>a</w:t>
      </w:r>
      <w:r w:rsidR="00483ED8">
        <w:t xml:space="preserve"> distingue</w:t>
      </w:r>
      <w:r w:rsidR="009F6A33">
        <w:t>rait</w:t>
      </w:r>
      <w:r w:rsidR="00483ED8">
        <w:t xml:space="preserve"> pas beaucoup de la 12</w:t>
      </w:r>
      <w:r w:rsidR="00483ED8" w:rsidRPr="00483ED8">
        <w:rPr>
          <w:vertAlign w:val="superscript"/>
        </w:rPr>
        <w:t>e</w:t>
      </w:r>
      <w:r w:rsidR="00483ED8">
        <w:t xml:space="preserve"> école dont le pourcentage </w:t>
      </w:r>
      <w:r w:rsidR="009F6A33">
        <w:t>serait</w:t>
      </w:r>
      <w:r w:rsidR="00483ED8">
        <w:t xml:space="preserve"> de 100</w:t>
      </w:r>
      <w:r w:rsidR="009F6A33">
        <w:t> </w:t>
      </w:r>
      <w:r w:rsidR="00483ED8">
        <w:t>%. Toutefois, la 7</w:t>
      </w:r>
      <w:r w:rsidR="00483ED8" w:rsidRPr="00483ED8">
        <w:rPr>
          <w:vertAlign w:val="superscript"/>
        </w:rPr>
        <w:t>e</w:t>
      </w:r>
      <w:r w:rsidR="00483ED8">
        <w:t xml:space="preserve"> école </w:t>
      </w:r>
      <w:r w:rsidR="009F6A33">
        <w:t>serait pourvu</w:t>
      </w:r>
      <w:r w:rsidR="00506B02">
        <w:t>e</w:t>
      </w:r>
      <w:r w:rsidR="009F6A33">
        <w:t xml:space="preserve"> d</w:t>
      </w:r>
      <w:r w:rsidR="00C419B2">
        <w:t>’</w:t>
      </w:r>
      <w:r w:rsidR="00483ED8">
        <w:t>un nombre d</w:t>
      </w:r>
      <w:r w:rsidR="00C419B2">
        <w:t>’</w:t>
      </w:r>
      <w:r w:rsidR="00483ED8">
        <w:t>instituteurs et de classes suffisant, ce qui n</w:t>
      </w:r>
      <w:r w:rsidR="00C419B2">
        <w:t>’</w:t>
      </w:r>
      <w:r w:rsidR="00483ED8">
        <w:t>a</w:t>
      </w:r>
      <w:r w:rsidR="009F6A33">
        <w:t>urait</w:t>
      </w:r>
      <w:r w:rsidR="00483ED8">
        <w:t xml:space="preserve"> jamais été le cas de la 12</w:t>
      </w:r>
      <w:r w:rsidR="00483ED8" w:rsidRPr="00483ED8">
        <w:rPr>
          <w:vertAlign w:val="superscript"/>
        </w:rPr>
        <w:t>e</w:t>
      </w:r>
      <w:r w:rsidR="00483ED8">
        <w:t xml:space="preserve"> école.</w:t>
      </w:r>
    </w:p>
    <w:p w:rsidR="00AA3CC6" w:rsidRDefault="00AA3CC6" w:rsidP="00AA3CC6">
      <w:pPr>
        <w:pStyle w:val="JuH1"/>
      </w:pPr>
      <w:r>
        <w:t>2.  Appréciation de la Cour</w:t>
      </w:r>
    </w:p>
    <w:p w:rsidR="00AA3CC6" w:rsidRDefault="00AA3CC6" w:rsidP="00AA3CC6">
      <w:pPr>
        <w:pStyle w:val="JuHa0"/>
      </w:pPr>
      <w:r>
        <w:t>a)  Principes généraux</w:t>
      </w:r>
    </w:p>
    <w:p w:rsidR="001C1F03" w:rsidRPr="009202F2" w:rsidRDefault="00970717" w:rsidP="00076451">
      <w:pPr>
        <w:pStyle w:val="JuPara"/>
        <w:rPr>
          <w:rStyle w:val="sb8d990e2"/>
          <w:i/>
          <w:lang w:eastAsia="en-US"/>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75</w:t>
      </w:r>
      <w:r>
        <w:rPr>
          <w:rStyle w:val="sb8d990e2"/>
        </w:rPr>
        <w:fldChar w:fldCharType="end"/>
      </w:r>
      <w:r>
        <w:rPr>
          <w:rStyle w:val="sb8d990e2"/>
        </w:rPr>
        <w:t>.  </w:t>
      </w:r>
      <w:r w:rsidR="00D40043">
        <w:rPr>
          <w:rStyle w:val="sb8d990e2"/>
        </w:rPr>
        <w:t>L</w:t>
      </w:r>
      <w:r w:rsidR="00506B02">
        <w:rPr>
          <w:rStyle w:val="sb8d990e2"/>
        </w:rPr>
        <w:t>a Cour rappelle que</w:t>
      </w:r>
      <w:r w:rsidR="005E4E0B">
        <w:rPr>
          <w:rStyle w:val="sb8d990e2"/>
        </w:rPr>
        <w:t>, selon sa jurisprudence bien établie,</w:t>
      </w:r>
      <w:r w:rsidR="00506B02">
        <w:rPr>
          <w:rStyle w:val="sb8d990e2"/>
        </w:rPr>
        <w:t xml:space="preserve"> l</w:t>
      </w:r>
      <w:r w:rsidR="00D40043">
        <w:rPr>
          <w:rStyle w:val="sb8d990e2"/>
        </w:rPr>
        <w:t>e droit à l</w:t>
      </w:r>
      <w:r w:rsidR="00C419B2">
        <w:rPr>
          <w:rStyle w:val="sb8d990e2"/>
        </w:rPr>
        <w:t>’</w:t>
      </w:r>
      <w:r w:rsidR="00D40043">
        <w:rPr>
          <w:rStyle w:val="sb8d990e2"/>
        </w:rPr>
        <w:t>instruction, tel qu</w:t>
      </w:r>
      <w:r w:rsidR="00C419B2">
        <w:rPr>
          <w:rStyle w:val="sb8d990e2"/>
        </w:rPr>
        <w:t>’</w:t>
      </w:r>
      <w:r w:rsidR="00D40043">
        <w:rPr>
          <w:rStyle w:val="sb8d990e2"/>
        </w:rPr>
        <w:t>il est prévu par la première phrase de l</w:t>
      </w:r>
      <w:r w:rsidR="00C419B2">
        <w:rPr>
          <w:rStyle w:val="sb8d990e2"/>
        </w:rPr>
        <w:t>’</w:t>
      </w:r>
      <w:r w:rsidR="00D40043">
        <w:rPr>
          <w:rStyle w:val="sb8d990e2"/>
        </w:rPr>
        <w:t>article 2 du Protocole n</w:t>
      </w:r>
      <w:r w:rsidR="00D40043" w:rsidRPr="00506B02">
        <w:rPr>
          <w:rStyle w:val="sea881cdf"/>
          <w:vertAlign w:val="superscript"/>
        </w:rPr>
        <w:t>o</w:t>
      </w:r>
      <w:r w:rsidR="00D40043">
        <w:rPr>
          <w:rStyle w:val="sb8d990e2"/>
        </w:rPr>
        <w:t xml:space="preserve"> 1</w:t>
      </w:r>
      <w:r w:rsidR="00506B02">
        <w:rPr>
          <w:rStyle w:val="sb8d990e2"/>
        </w:rPr>
        <w:t xml:space="preserve"> à la Convention</w:t>
      </w:r>
      <w:r w:rsidR="00D40043">
        <w:rPr>
          <w:rStyle w:val="sb8d990e2"/>
        </w:rPr>
        <w:t>, garantit à quiconque relève de la juridiction des Etats contractants « un droit d</w:t>
      </w:r>
      <w:r w:rsidR="00C419B2">
        <w:rPr>
          <w:rStyle w:val="sb8d990e2"/>
        </w:rPr>
        <w:t>’</w:t>
      </w:r>
      <w:r w:rsidR="00D40043">
        <w:rPr>
          <w:rStyle w:val="sb8d990e2"/>
        </w:rPr>
        <w:t>accès aux établissements scolaires existant à un moment donné »</w:t>
      </w:r>
      <w:r w:rsidR="00506B02">
        <w:rPr>
          <w:rStyle w:val="sb8d990e2"/>
        </w:rPr>
        <w:t>,</w:t>
      </w:r>
      <w:r w:rsidR="00D40043">
        <w:rPr>
          <w:rStyle w:val="sb8d990e2"/>
        </w:rPr>
        <w:t xml:space="preserve"> l</w:t>
      </w:r>
      <w:r w:rsidR="00C419B2">
        <w:rPr>
          <w:rStyle w:val="sb8d990e2"/>
        </w:rPr>
        <w:t>’</w:t>
      </w:r>
      <w:r w:rsidR="00D40043">
        <w:rPr>
          <w:rStyle w:val="sb8d990e2"/>
        </w:rPr>
        <w:t>accès à ces derniers ne form</w:t>
      </w:r>
      <w:r w:rsidR="00506B02">
        <w:rPr>
          <w:rStyle w:val="sb8d990e2"/>
        </w:rPr>
        <w:t>ant</w:t>
      </w:r>
      <w:r w:rsidR="00D40043">
        <w:rPr>
          <w:rStyle w:val="sb8d990e2"/>
        </w:rPr>
        <w:t xml:space="preserve"> qu</w:t>
      </w:r>
      <w:r w:rsidR="00C419B2">
        <w:rPr>
          <w:rStyle w:val="sb8d990e2"/>
        </w:rPr>
        <w:t>’</w:t>
      </w:r>
      <w:r w:rsidR="00D40043">
        <w:rPr>
          <w:rStyle w:val="sb8d990e2"/>
        </w:rPr>
        <w:t>une partie de ce droit fondamental. Pour que ce droit « produise des effets utiles, il faut encore, notamment, que l</w:t>
      </w:r>
      <w:r w:rsidR="00C419B2">
        <w:rPr>
          <w:rStyle w:val="sb8d990e2"/>
        </w:rPr>
        <w:t>’</w:t>
      </w:r>
      <w:r w:rsidR="00D40043">
        <w:rPr>
          <w:rStyle w:val="sb8d990e2"/>
        </w:rPr>
        <w:t>individu qui en est titulaire ait la possibilité de tirer un bénéfice de l</w:t>
      </w:r>
      <w:r w:rsidR="00C419B2">
        <w:rPr>
          <w:rStyle w:val="sb8d990e2"/>
        </w:rPr>
        <w:t>’</w:t>
      </w:r>
      <w:r w:rsidR="00D40043">
        <w:rPr>
          <w:rStyle w:val="sb8d990e2"/>
        </w:rPr>
        <w:t>enseignement suivi, c</w:t>
      </w:r>
      <w:r w:rsidR="00C419B2">
        <w:rPr>
          <w:rStyle w:val="sb8d990e2"/>
        </w:rPr>
        <w:t>’</w:t>
      </w:r>
      <w:r w:rsidR="00D40043">
        <w:rPr>
          <w:rStyle w:val="sb8d990e2"/>
        </w:rPr>
        <w:t>est-à-dire le droit d</w:t>
      </w:r>
      <w:r w:rsidR="00C419B2">
        <w:rPr>
          <w:rStyle w:val="sb8d990e2"/>
        </w:rPr>
        <w:t>’</w:t>
      </w:r>
      <w:r w:rsidR="00D40043">
        <w:rPr>
          <w:rStyle w:val="sb8d990e2"/>
        </w:rPr>
        <w:t>obtenir, conformément aux règles en vigueur dans chaque Etat, sous une forme ou une autre, la reconnaissance officielle des études accomplies » (</w:t>
      </w:r>
      <w:r w:rsidR="00506B02">
        <w:rPr>
          <w:rStyle w:val="s6b621b36"/>
          <w:i/>
        </w:rPr>
        <w:t>A</w:t>
      </w:r>
      <w:r w:rsidR="00D40043" w:rsidRPr="001847DD">
        <w:rPr>
          <w:rStyle w:val="s6b621b36"/>
          <w:i/>
        </w:rPr>
        <w:t xml:space="preserve">ffaire </w:t>
      </w:r>
      <w:r w:rsidR="00506B02">
        <w:rPr>
          <w:rStyle w:val="s6b621b36"/>
          <w:i/>
        </w:rPr>
        <w:t>« </w:t>
      </w:r>
      <w:r w:rsidR="00D40043" w:rsidRPr="001847DD">
        <w:rPr>
          <w:rStyle w:val="s6b621b36"/>
          <w:i/>
        </w:rPr>
        <w:t>relative à certains aspects du régime linguistique de l</w:t>
      </w:r>
      <w:r w:rsidR="00C419B2">
        <w:rPr>
          <w:rStyle w:val="s6b621b36"/>
          <w:i/>
        </w:rPr>
        <w:t>’</w:t>
      </w:r>
      <w:r w:rsidR="00D40043" w:rsidRPr="001847DD">
        <w:rPr>
          <w:rStyle w:val="s6b621b36"/>
          <w:i/>
        </w:rPr>
        <w:t>enseignement en Belgique</w:t>
      </w:r>
      <w:r w:rsidR="00D40043" w:rsidRPr="001847DD">
        <w:rPr>
          <w:rStyle w:val="sb8d990e2"/>
          <w:i/>
        </w:rPr>
        <w:t> »</w:t>
      </w:r>
      <w:r w:rsidR="00D40043">
        <w:rPr>
          <w:rStyle w:val="sb8d990e2"/>
        </w:rPr>
        <w:t xml:space="preserve">, 23 juillet 1968, §§ 3-5, </w:t>
      </w:r>
      <w:r w:rsidR="00506B02">
        <w:rPr>
          <w:rStyle w:val="sb8d990e2"/>
        </w:rPr>
        <w:t>série </w:t>
      </w:r>
      <w:r w:rsidR="00D40043">
        <w:rPr>
          <w:rStyle w:val="sb8d990e2"/>
        </w:rPr>
        <w:t>A n</w:t>
      </w:r>
      <w:r w:rsidR="00D40043" w:rsidRPr="00506B02">
        <w:rPr>
          <w:rStyle w:val="sea881cdf"/>
          <w:vertAlign w:val="superscript"/>
        </w:rPr>
        <w:t>o</w:t>
      </w:r>
      <w:r w:rsidR="00D40043">
        <w:rPr>
          <w:rStyle w:val="sb8d990e2"/>
        </w:rPr>
        <w:t xml:space="preserve"> 6</w:t>
      </w:r>
      <w:r w:rsidR="001847DD">
        <w:rPr>
          <w:rStyle w:val="sb8d990e2"/>
        </w:rPr>
        <w:t> ;</w:t>
      </w:r>
      <w:r w:rsidR="00D40043">
        <w:rPr>
          <w:rStyle w:val="sb8d990e2"/>
        </w:rPr>
        <w:t xml:space="preserve"> </w:t>
      </w:r>
      <w:r w:rsidR="00D40043" w:rsidRPr="001847DD">
        <w:rPr>
          <w:rStyle w:val="s6b621b36"/>
          <w:i/>
        </w:rPr>
        <w:t>Kjeldsen, Busk Madsen et Pedersen c. Danemark</w:t>
      </w:r>
      <w:r w:rsidR="00D40043">
        <w:rPr>
          <w:rStyle w:val="sb8d990e2"/>
        </w:rPr>
        <w:t>, 7 décembre 1976, § 52, série A n</w:t>
      </w:r>
      <w:r w:rsidR="00D40043" w:rsidRPr="00506B02">
        <w:rPr>
          <w:rStyle w:val="sea881cdf"/>
          <w:vertAlign w:val="superscript"/>
        </w:rPr>
        <w:t>o</w:t>
      </w:r>
      <w:r w:rsidR="001847DD">
        <w:rPr>
          <w:rStyle w:val="sb8d990e2"/>
        </w:rPr>
        <w:t xml:space="preserve"> 23 ;</w:t>
      </w:r>
      <w:r w:rsidR="00D40043">
        <w:rPr>
          <w:rStyle w:val="sb8d990e2"/>
        </w:rPr>
        <w:t xml:space="preserve"> </w:t>
      </w:r>
      <w:r w:rsidR="00D40043" w:rsidRPr="001847DD">
        <w:rPr>
          <w:rStyle w:val="s6b621b36"/>
          <w:i/>
        </w:rPr>
        <w:t>Leyla Şahin c. Turquie</w:t>
      </w:r>
      <w:r w:rsidR="00D40043">
        <w:rPr>
          <w:rStyle w:val="s6b621b36"/>
        </w:rPr>
        <w:t xml:space="preserve"> </w:t>
      </w:r>
      <w:r w:rsidR="00D40043">
        <w:rPr>
          <w:rStyle w:val="sb8d990e2"/>
        </w:rPr>
        <w:t>[GC], n</w:t>
      </w:r>
      <w:r w:rsidR="00D40043" w:rsidRPr="00506B02">
        <w:rPr>
          <w:rStyle w:val="sea881cdf"/>
          <w:vertAlign w:val="superscript"/>
        </w:rPr>
        <w:t>o</w:t>
      </w:r>
      <w:r w:rsidR="00D40043">
        <w:rPr>
          <w:rStyle w:val="sb8d990e2"/>
        </w:rPr>
        <w:t xml:space="preserve"> 44774/98, § 152, CEDH 2005</w:t>
      </w:r>
      <w:r w:rsidR="00D40043">
        <w:rPr>
          <w:rStyle w:val="sb8d990e2"/>
        </w:rPr>
        <w:noBreakHyphen/>
        <w:t>XI</w:t>
      </w:r>
      <w:r w:rsidR="00506B02">
        <w:rPr>
          <w:rStyle w:val="sb8d990e2"/>
        </w:rPr>
        <w:t xml:space="preserve">, </w:t>
      </w:r>
      <w:r w:rsidR="003D4B6B" w:rsidRPr="003D4B6B">
        <w:rPr>
          <w:rStyle w:val="s7d2086b4"/>
          <w:i/>
        </w:rPr>
        <w:t>Oršuš et autres</w:t>
      </w:r>
      <w:r w:rsidR="005A22EE">
        <w:rPr>
          <w:rStyle w:val="s7d2086b4"/>
        </w:rPr>
        <w:t>, précité</w:t>
      </w:r>
      <w:r w:rsidR="003D4B6B">
        <w:rPr>
          <w:rStyle w:val="s7d2086b4"/>
        </w:rPr>
        <w:t>, § 146</w:t>
      </w:r>
      <w:r w:rsidR="009202F2">
        <w:rPr>
          <w:rStyle w:val="s7d2086b4"/>
        </w:rPr>
        <w:t xml:space="preserve"> et </w:t>
      </w:r>
      <w:r w:rsidR="009202F2" w:rsidRPr="009202F2">
        <w:rPr>
          <w:i/>
          <w:szCs w:val="22"/>
          <w:lang w:eastAsia="en-US"/>
        </w:rPr>
        <w:t>Catan et autres c. République de Moldova et Russie</w:t>
      </w:r>
      <w:r w:rsidR="009202F2" w:rsidRPr="009202F2">
        <w:rPr>
          <w:szCs w:val="22"/>
          <w:lang w:eastAsia="en-US"/>
        </w:rPr>
        <w:t xml:space="preserve"> [GC], nos 43370/04, 8252/05 et 18454/06</w:t>
      </w:r>
      <w:r w:rsidR="009202F2" w:rsidRPr="009202F2">
        <w:rPr>
          <w:lang w:val="pt-BR" w:eastAsia="en-US"/>
        </w:rPr>
        <w:t xml:space="preserve">, § </w:t>
      </w:r>
      <w:r w:rsidR="009202F2">
        <w:rPr>
          <w:lang w:val="pt-BR" w:eastAsia="en-US"/>
        </w:rPr>
        <w:t>137,</w:t>
      </w:r>
      <w:r w:rsidR="009202F2" w:rsidRPr="009202F2">
        <w:rPr>
          <w:lang w:val="pt-BR" w:eastAsia="en-US"/>
        </w:rPr>
        <w:t xml:space="preserve"> 19 octobre 2012</w:t>
      </w:r>
      <w:r w:rsidR="00D40043">
        <w:rPr>
          <w:rStyle w:val="sb8d990e2"/>
        </w:rPr>
        <w:t>)</w:t>
      </w:r>
      <w:r w:rsidR="003D4B6B">
        <w:rPr>
          <w:rStyle w:val="sb8d990e2"/>
        </w:rPr>
        <w:t>.</w:t>
      </w:r>
    </w:p>
    <w:p w:rsidR="00172CD0" w:rsidRDefault="00970717" w:rsidP="006E3E75">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76</w:t>
      </w:r>
      <w:r>
        <w:rPr>
          <w:rStyle w:val="sb8d990e2"/>
        </w:rPr>
        <w:fldChar w:fldCharType="end"/>
      </w:r>
      <w:r>
        <w:rPr>
          <w:rStyle w:val="sb8d990e2"/>
        </w:rPr>
        <w:t>.  </w:t>
      </w:r>
      <w:r w:rsidR="00172CD0" w:rsidRPr="00172CD0">
        <w:rPr>
          <w:rStyle w:val="sb8d990e2"/>
        </w:rPr>
        <w:t>Dans l</w:t>
      </w:r>
      <w:r w:rsidR="00C419B2">
        <w:rPr>
          <w:rStyle w:val="sb8d990e2"/>
        </w:rPr>
        <w:t>’</w:t>
      </w:r>
      <w:r w:rsidR="00172CD0" w:rsidRPr="00172CD0">
        <w:rPr>
          <w:rStyle w:val="sb8d990e2"/>
        </w:rPr>
        <w:t xml:space="preserve">arrêt </w:t>
      </w:r>
      <w:r w:rsidR="00172CD0" w:rsidRPr="00172CD0">
        <w:rPr>
          <w:rStyle w:val="s7d2086b4"/>
          <w:i/>
        </w:rPr>
        <w:t xml:space="preserve">Oršuš et autres </w:t>
      </w:r>
      <w:r w:rsidR="00461C88">
        <w:rPr>
          <w:rStyle w:val="s7d2086b4"/>
        </w:rPr>
        <w:t>(précité</w:t>
      </w:r>
      <w:r w:rsidR="00506B02">
        <w:rPr>
          <w:rStyle w:val="s7d2086b4"/>
        </w:rPr>
        <w:t>)</w:t>
      </w:r>
      <w:r w:rsidR="00172CD0" w:rsidRPr="00172CD0">
        <w:rPr>
          <w:rStyle w:val="s7d2086b4"/>
        </w:rPr>
        <w:t>, la Cour a souligné que</w:t>
      </w:r>
      <w:r w:rsidR="00461C88">
        <w:rPr>
          <w:rStyle w:val="s7d2086b4"/>
        </w:rPr>
        <w:t>,</w:t>
      </w:r>
      <w:r w:rsidR="00172CD0" w:rsidRPr="00172CD0">
        <w:rPr>
          <w:rStyle w:val="s7d2086b4"/>
        </w:rPr>
        <w:t xml:space="preserve"> bien que cette affaire concern</w:t>
      </w:r>
      <w:r w:rsidR="00461C88">
        <w:rPr>
          <w:rStyle w:val="s7d2086b4"/>
        </w:rPr>
        <w:t>ât</w:t>
      </w:r>
      <w:r w:rsidR="00172CD0" w:rsidRPr="00172CD0">
        <w:rPr>
          <w:rStyle w:val="s7d2086b4"/>
        </w:rPr>
        <w:t xml:space="preserve"> </w:t>
      </w:r>
      <w:r w:rsidR="00172CD0" w:rsidRPr="00172CD0">
        <w:rPr>
          <w:rStyle w:val="sb8d990e2"/>
        </w:rPr>
        <w:t xml:space="preserve">la situation individuelle des </w:t>
      </w:r>
      <w:r w:rsidR="00172CD0">
        <w:rPr>
          <w:rStyle w:val="sb8d990e2"/>
        </w:rPr>
        <w:t>requérants, elle</w:t>
      </w:r>
      <w:r w:rsidR="00172CD0" w:rsidRPr="00172CD0">
        <w:rPr>
          <w:rStyle w:val="sb8d990e2"/>
        </w:rPr>
        <w:t xml:space="preserve"> ne </w:t>
      </w:r>
      <w:r w:rsidR="00461C88">
        <w:rPr>
          <w:rStyle w:val="sb8d990e2"/>
        </w:rPr>
        <w:t>pouvait</w:t>
      </w:r>
      <w:r w:rsidR="00461C88" w:rsidRPr="00172CD0">
        <w:rPr>
          <w:rStyle w:val="sb8d990e2"/>
        </w:rPr>
        <w:t xml:space="preserve"> </w:t>
      </w:r>
      <w:r w:rsidR="00172CD0" w:rsidRPr="00172CD0">
        <w:rPr>
          <w:rStyle w:val="sb8d990e2"/>
        </w:rPr>
        <w:t>faire abstraction</w:t>
      </w:r>
      <w:r w:rsidR="00172CD0">
        <w:rPr>
          <w:rStyle w:val="sb8d990e2"/>
        </w:rPr>
        <w:t xml:space="preserve"> de ce que ceux-ci appartenaient</w:t>
      </w:r>
      <w:r w:rsidR="00172CD0" w:rsidRPr="00172CD0">
        <w:rPr>
          <w:rStyle w:val="sb8d990e2"/>
        </w:rPr>
        <w:t xml:space="preserve"> à la minorité rom</w:t>
      </w:r>
      <w:r w:rsidR="006E3E75">
        <w:rPr>
          <w:rStyle w:val="sb8d990e2"/>
        </w:rPr>
        <w:t xml:space="preserve"> et qu</w:t>
      </w:r>
      <w:r w:rsidR="00C419B2">
        <w:rPr>
          <w:rStyle w:val="sb8d990e2"/>
        </w:rPr>
        <w:t>’</w:t>
      </w:r>
      <w:r w:rsidR="006E3E75">
        <w:rPr>
          <w:rStyle w:val="sb8d990e2"/>
        </w:rPr>
        <w:t xml:space="preserve">elle tiendrait compte dans son analyse du fait que, par son histoire, la minorité rom était un type particulier de minorité vulnérable ayant besoin </w:t>
      </w:r>
      <w:r w:rsidR="006E3E75" w:rsidRPr="00172CD0">
        <w:rPr>
          <w:rStyle w:val="sb8d990e2"/>
        </w:rPr>
        <w:t>d</w:t>
      </w:r>
      <w:r w:rsidR="00C419B2">
        <w:rPr>
          <w:rStyle w:val="sb8d990e2"/>
        </w:rPr>
        <w:t>’</w:t>
      </w:r>
      <w:r w:rsidR="006E3E75" w:rsidRPr="00172CD0">
        <w:rPr>
          <w:rStyle w:val="sb8d990e2"/>
        </w:rPr>
        <w:t>une protection spéciale</w:t>
      </w:r>
      <w:r w:rsidR="006E3E75">
        <w:rPr>
          <w:rStyle w:val="sb8d990e2"/>
        </w:rPr>
        <w:t xml:space="preserve">. </w:t>
      </w:r>
      <w:r w:rsidR="003638BB">
        <w:rPr>
          <w:rStyle w:val="sb8d990e2"/>
        </w:rPr>
        <w:t>La Cour rappelle également que, c</w:t>
      </w:r>
      <w:r w:rsidR="00172CD0" w:rsidRPr="00172CD0">
        <w:rPr>
          <w:rStyle w:val="sb8d990e2"/>
        </w:rPr>
        <w:t>omme en témoignent les activités de nombreux organismes européens et internationaux et les recommandations des organes du Conseil de l</w:t>
      </w:r>
      <w:r w:rsidR="00C419B2">
        <w:rPr>
          <w:rStyle w:val="sb8d990e2"/>
        </w:rPr>
        <w:t>’</w:t>
      </w:r>
      <w:r w:rsidR="00172CD0" w:rsidRPr="00172CD0">
        <w:rPr>
          <w:rStyle w:val="sb8d990e2"/>
        </w:rPr>
        <w:t>Europe, cette protection s</w:t>
      </w:r>
      <w:r w:rsidR="00C419B2">
        <w:rPr>
          <w:rStyle w:val="sb8d990e2"/>
        </w:rPr>
        <w:t>’</w:t>
      </w:r>
      <w:r w:rsidR="00172CD0" w:rsidRPr="00172CD0">
        <w:rPr>
          <w:rStyle w:val="sb8d990e2"/>
        </w:rPr>
        <w:t>étend également au domaine de l</w:t>
      </w:r>
      <w:r w:rsidR="00C419B2">
        <w:rPr>
          <w:rStyle w:val="sb8d990e2"/>
        </w:rPr>
        <w:t>’</w:t>
      </w:r>
      <w:r w:rsidR="00172CD0" w:rsidRPr="00172CD0">
        <w:rPr>
          <w:rStyle w:val="sb8d990e2"/>
        </w:rPr>
        <w:t>éducation.</w:t>
      </w:r>
      <w:r w:rsidR="00172CD0">
        <w:rPr>
          <w:rStyle w:val="sb8d990e2"/>
        </w:rPr>
        <w:t xml:space="preserve"> C</w:t>
      </w:r>
      <w:r w:rsidR="00172CD0" w:rsidRPr="00172CD0">
        <w:rPr>
          <w:rStyle w:val="sb8d990e2"/>
        </w:rPr>
        <w:t>omme indiqué dans de précédentes affaires, la vulnérabilité des Roms/Tsiganes implique d</w:t>
      </w:r>
      <w:r w:rsidR="00C419B2">
        <w:rPr>
          <w:rStyle w:val="sb8d990e2"/>
        </w:rPr>
        <w:t>’</w:t>
      </w:r>
      <w:r w:rsidR="00172CD0" w:rsidRPr="00172CD0">
        <w:rPr>
          <w:rStyle w:val="sb8d990e2"/>
        </w:rPr>
        <w:t xml:space="preserve">accorder une attention spéciale à leurs besoins et à leur mode de vie propre tant dans le cadre réglementaire considéré que lors de la prise de décisions dans des cas particuliers </w:t>
      </w:r>
      <w:r w:rsidR="0025034E">
        <w:rPr>
          <w:rStyle w:val="sb8d990e2"/>
        </w:rPr>
        <w:t>(</w:t>
      </w:r>
      <w:r w:rsidR="00C56BA1" w:rsidRPr="00172CD0">
        <w:rPr>
          <w:rStyle w:val="s7d2086b4"/>
          <w:i/>
        </w:rPr>
        <w:t>Oršuš et autres</w:t>
      </w:r>
      <w:r w:rsidR="00C56BA1" w:rsidRPr="00C56BA1">
        <w:rPr>
          <w:rStyle w:val="sb8d990e2"/>
        </w:rPr>
        <w:t>,</w:t>
      </w:r>
      <w:r w:rsidR="00C56BA1">
        <w:rPr>
          <w:rStyle w:val="sb8d990e2"/>
        </w:rPr>
        <w:t xml:space="preserve"> </w:t>
      </w:r>
      <w:r w:rsidR="00C56BA1">
        <w:rPr>
          <w:rStyle w:val="s7d2086b4"/>
        </w:rPr>
        <w:t>précité</w:t>
      </w:r>
      <w:r w:rsidR="00C56BA1" w:rsidRPr="00C56BA1">
        <w:rPr>
          <w:rStyle w:val="sb8d990e2"/>
        </w:rPr>
        <w:t>,</w:t>
      </w:r>
      <w:r w:rsidR="00CB71D8">
        <w:rPr>
          <w:rStyle w:val="sb8d990e2"/>
        </w:rPr>
        <w:t xml:space="preserve"> §§ </w:t>
      </w:r>
      <w:r w:rsidR="0025034E">
        <w:rPr>
          <w:rStyle w:val="sb8d990e2"/>
        </w:rPr>
        <w:t>147-148).</w:t>
      </w:r>
    </w:p>
    <w:p w:rsidR="00AA3CC6" w:rsidRDefault="00970717"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77</w:t>
      </w:r>
      <w:r>
        <w:rPr>
          <w:rStyle w:val="sb8d990e2"/>
        </w:rPr>
        <w:fldChar w:fldCharType="end"/>
      </w:r>
      <w:r>
        <w:rPr>
          <w:rStyle w:val="sb8d990e2"/>
        </w:rPr>
        <w:t>.  </w:t>
      </w:r>
      <w:r w:rsidR="00D40043">
        <w:rPr>
          <w:rStyle w:val="sb8d990e2"/>
        </w:rPr>
        <w:t>La Cour rappelle</w:t>
      </w:r>
      <w:r w:rsidR="0025034E">
        <w:rPr>
          <w:rStyle w:val="sb8d990e2"/>
        </w:rPr>
        <w:t xml:space="preserve"> aussi</w:t>
      </w:r>
      <w:r w:rsidR="00D40043">
        <w:rPr>
          <w:rStyle w:val="sb8d990e2"/>
        </w:rPr>
        <w:t xml:space="preserve"> que l</w:t>
      </w:r>
      <w:r w:rsidR="00C419B2">
        <w:rPr>
          <w:rStyle w:val="sb8d990e2"/>
        </w:rPr>
        <w:t>’</w:t>
      </w:r>
      <w:r w:rsidR="00D40043">
        <w:rPr>
          <w:rStyle w:val="sb8d990e2"/>
        </w:rPr>
        <w:t>article 14 n</w:t>
      </w:r>
      <w:r w:rsidR="00C419B2">
        <w:rPr>
          <w:rStyle w:val="sb8d990e2"/>
        </w:rPr>
        <w:t>’</w:t>
      </w:r>
      <w:r w:rsidR="00D40043">
        <w:rPr>
          <w:rStyle w:val="sb8d990e2"/>
        </w:rPr>
        <w:t>a pas d</w:t>
      </w:r>
      <w:r w:rsidR="00C419B2">
        <w:rPr>
          <w:rStyle w:val="sb8d990e2"/>
        </w:rPr>
        <w:t>’</w:t>
      </w:r>
      <w:r w:rsidR="00D40043">
        <w:rPr>
          <w:rStyle w:val="sb8d990e2"/>
        </w:rPr>
        <w:t xml:space="preserve">existence autonome, mais </w:t>
      </w:r>
      <w:r w:rsidR="00313F90">
        <w:rPr>
          <w:rStyle w:val="sb8d990e2"/>
        </w:rPr>
        <w:t>qu</w:t>
      </w:r>
      <w:r w:rsidR="00C419B2">
        <w:rPr>
          <w:rStyle w:val="sb8d990e2"/>
        </w:rPr>
        <w:t>’</w:t>
      </w:r>
      <w:r w:rsidR="00313F90">
        <w:rPr>
          <w:rStyle w:val="sb8d990e2"/>
        </w:rPr>
        <w:t xml:space="preserve">il </w:t>
      </w:r>
      <w:r w:rsidR="00D40043">
        <w:rPr>
          <w:rStyle w:val="sb8d990e2"/>
        </w:rPr>
        <w:t xml:space="preserve">joue un rôle important de complément des autres dispositions de la Convention et de ses </w:t>
      </w:r>
      <w:r w:rsidR="005E4E0B">
        <w:rPr>
          <w:rStyle w:val="sb8d990e2"/>
        </w:rPr>
        <w:t>P</w:t>
      </w:r>
      <w:r w:rsidR="00D40043">
        <w:rPr>
          <w:rStyle w:val="sb8d990e2"/>
        </w:rPr>
        <w:t>rotocoles puisqu</w:t>
      </w:r>
      <w:r w:rsidR="00C419B2">
        <w:rPr>
          <w:rStyle w:val="sb8d990e2"/>
        </w:rPr>
        <w:t>’</w:t>
      </w:r>
      <w:r w:rsidR="00D40043">
        <w:rPr>
          <w:rStyle w:val="sb8d990e2"/>
        </w:rPr>
        <w:t>il protège les individus placés dans des situations analogues contre toute discrimination dans la jouissance des droits énoncés dans ces autres dispositions. Lorsqu</w:t>
      </w:r>
      <w:r w:rsidR="00C419B2">
        <w:rPr>
          <w:rStyle w:val="sb8d990e2"/>
        </w:rPr>
        <w:t>’</w:t>
      </w:r>
      <w:r w:rsidR="005E4E0B">
        <w:rPr>
          <w:rStyle w:val="sb8d990e2"/>
        </w:rPr>
        <w:t>elle</w:t>
      </w:r>
      <w:r w:rsidR="00D40043">
        <w:rPr>
          <w:rStyle w:val="sb8d990e2"/>
        </w:rPr>
        <w:t xml:space="preserve"> a constaté une violation séparée d</w:t>
      </w:r>
      <w:r w:rsidR="00C419B2">
        <w:rPr>
          <w:rStyle w:val="sb8d990e2"/>
        </w:rPr>
        <w:t>’</w:t>
      </w:r>
      <w:r w:rsidR="00D40043">
        <w:rPr>
          <w:rStyle w:val="sb8d990e2"/>
        </w:rPr>
        <w:t>une clause normative de la Convention, invoquée devant elle à la fois comme telle et conjointement avec l</w:t>
      </w:r>
      <w:r w:rsidR="00C419B2">
        <w:rPr>
          <w:rStyle w:val="sb8d990e2"/>
        </w:rPr>
        <w:t>’</w:t>
      </w:r>
      <w:r w:rsidR="00D40043">
        <w:rPr>
          <w:rStyle w:val="sb8d990e2"/>
        </w:rPr>
        <w:t>article 14, elle n</w:t>
      </w:r>
      <w:r w:rsidR="00C419B2">
        <w:rPr>
          <w:rStyle w:val="sb8d990e2"/>
        </w:rPr>
        <w:t>’</w:t>
      </w:r>
      <w:r w:rsidR="00D40043">
        <w:rPr>
          <w:rStyle w:val="sb8d990e2"/>
        </w:rPr>
        <w:t>a en général pas besoin d</w:t>
      </w:r>
      <w:r w:rsidR="00C419B2">
        <w:rPr>
          <w:rStyle w:val="sb8d990e2"/>
        </w:rPr>
        <w:t>’</w:t>
      </w:r>
      <w:r w:rsidR="00D40043">
        <w:rPr>
          <w:rStyle w:val="sb8d990e2"/>
        </w:rPr>
        <w:t>examiner aussi l</w:t>
      </w:r>
      <w:r w:rsidR="00C419B2">
        <w:rPr>
          <w:rStyle w:val="sb8d990e2"/>
        </w:rPr>
        <w:t>’</w:t>
      </w:r>
      <w:r w:rsidR="00D40043">
        <w:rPr>
          <w:rStyle w:val="sb8d990e2"/>
        </w:rPr>
        <w:t>affaire sous l</w:t>
      </w:r>
      <w:r w:rsidR="00C419B2">
        <w:rPr>
          <w:rStyle w:val="sb8d990e2"/>
        </w:rPr>
        <w:t>’</w:t>
      </w:r>
      <w:r w:rsidR="00D40043">
        <w:rPr>
          <w:rStyle w:val="sb8d990e2"/>
        </w:rPr>
        <w:t>angle de celui-ci, mais il en va autrement si une nette inégalité de traitement dans la jouissance du droit en cause constitue un aspect fondamental du litige (</w:t>
      </w:r>
      <w:r w:rsidR="00D40043" w:rsidRPr="001847DD">
        <w:rPr>
          <w:rStyle w:val="s6b621b36"/>
          <w:i/>
        </w:rPr>
        <w:t>Dudgeon c</w:t>
      </w:r>
      <w:r w:rsidR="005E4E0B" w:rsidRPr="001847DD">
        <w:rPr>
          <w:rStyle w:val="s6b621b36"/>
          <w:i/>
        </w:rPr>
        <w:t>.</w:t>
      </w:r>
      <w:r w:rsidR="005E4E0B">
        <w:rPr>
          <w:rStyle w:val="s6b621b36"/>
          <w:i/>
        </w:rPr>
        <w:t> </w:t>
      </w:r>
      <w:r w:rsidR="00D40043" w:rsidRPr="001847DD">
        <w:rPr>
          <w:rStyle w:val="s6b621b36"/>
          <w:i/>
        </w:rPr>
        <w:t>Royaume-Uni</w:t>
      </w:r>
      <w:r w:rsidR="00D40043">
        <w:rPr>
          <w:rStyle w:val="sb8d990e2"/>
        </w:rPr>
        <w:t>, 22 octobre 1981, § 67, série A n</w:t>
      </w:r>
      <w:r w:rsidR="00D40043" w:rsidRPr="00313F90">
        <w:rPr>
          <w:rStyle w:val="sea881cdf"/>
          <w:vertAlign w:val="superscript"/>
        </w:rPr>
        <w:t>o</w:t>
      </w:r>
      <w:r w:rsidR="001847DD">
        <w:rPr>
          <w:rStyle w:val="sb8d990e2"/>
        </w:rPr>
        <w:t xml:space="preserve"> 45</w:t>
      </w:r>
      <w:r w:rsidR="005E4E0B">
        <w:rPr>
          <w:rStyle w:val="sb8d990e2"/>
        </w:rPr>
        <w:t>,</w:t>
      </w:r>
      <w:r w:rsidR="00D40043">
        <w:rPr>
          <w:rStyle w:val="sb8d990e2"/>
        </w:rPr>
        <w:t xml:space="preserve"> </w:t>
      </w:r>
      <w:r w:rsidR="00D40043" w:rsidRPr="001847DD">
        <w:rPr>
          <w:rStyle w:val="s6b621b36"/>
          <w:i/>
        </w:rPr>
        <w:t>Chassagnou et autres c. France</w:t>
      </w:r>
      <w:r w:rsidR="00D40043">
        <w:rPr>
          <w:rStyle w:val="sb8d990e2"/>
        </w:rPr>
        <w:t xml:space="preserve"> [GC], n</w:t>
      </w:r>
      <w:r w:rsidR="00D40043" w:rsidRPr="00313F90">
        <w:rPr>
          <w:rStyle w:val="sea881cdf"/>
          <w:vertAlign w:val="superscript"/>
        </w:rPr>
        <w:t>os</w:t>
      </w:r>
      <w:r w:rsidR="00D40043">
        <w:rPr>
          <w:rStyle w:val="sb8d990e2"/>
        </w:rPr>
        <w:t xml:space="preserve"> 25088/94, 28331/95 et 28443/95, § 89, CEDH 1999</w:t>
      </w:r>
      <w:r w:rsidR="00D40043">
        <w:rPr>
          <w:rStyle w:val="sb8d990e2"/>
        </w:rPr>
        <w:noBreakHyphen/>
        <w:t xml:space="preserve">III, et </w:t>
      </w:r>
      <w:r w:rsidR="00D40043" w:rsidRPr="001847DD">
        <w:rPr>
          <w:rStyle w:val="s6b621b36"/>
          <w:i/>
        </w:rPr>
        <w:t>Timichev c. Russie</w:t>
      </w:r>
      <w:r w:rsidR="00D40043">
        <w:rPr>
          <w:rStyle w:val="sb8d990e2"/>
        </w:rPr>
        <w:t>, n</w:t>
      </w:r>
      <w:r w:rsidR="00D40043" w:rsidRPr="00313F90">
        <w:rPr>
          <w:rStyle w:val="sea881cdf"/>
          <w:vertAlign w:val="superscript"/>
        </w:rPr>
        <w:t>os</w:t>
      </w:r>
      <w:r w:rsidR="00D40043">
        <w:rPr>
          <w:rStyle w:val="sb8d990e2"/>
        </w:rPr>
        <w:t xml:space="preserve"> 55762/00 et 55974/00, § 53, CEDH 2005</w:t>
      </w:r>
      <w:r w:rsidR="00D40043">
        <w:rPr>
          <w:rStyle w:val="sb8d990e2"/>
        </w:rPr>
        <w:noBreakHyphen/>
        <w:t>XII).</w:t>
      </w:r>
    </w:p>
    <w:p w:rsidR="001847DD" w:rsidRDefault="00970717" w:rsidP="00076451">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78</w:t>
      </w:r>
      <w:r>
        <w:rPr>
          <w:rStyle w:val="sb8d990e2"/>
        </w:rPr>
        <w:fldChar w:fldCharType="end"/>
      </w:r>
      <w:r>
        <w:rPr>
          <w:rStyle w:val="sb8d990e2"/>
        </w:rPr>
        <w:t>.  </w:t>
      </w:r>
      <w:r w:rsidR="001847DD">
        <w:rPr>
          <w:rStyle w:val="sb8d990e2"/>
        </w:rPr>
        <w:t xml:space="preserve">La Cour </w:t>
      </w:r>
      <w:r w:rsidR="005F53A7">
        <w:rPr>
          <w:rStyle w:val="sb8d990e2"/>
        </w:rPr>
        <w:t xml:space="preserve">rappelle en outre </w:t>
      </w:r>
      <w:r w:rsidR="001847DD">
        <w:rPr>
          <w:rStyle w:val="sb8d990e2"/>
        </w:rPr>
        <w:t>a</w:t>
      </w:r>
      <w:r w:rsidR="005F53A7">
        <w:rPr>
          <w:rStyle w:val="sb8d990e2"/>
        </w:rPr>
        <w:t>voir</w:t>
      </w:r>
      <w:r w:rsidR="001847DD">
        <w:rPr>
          <w:rStyle w:val="sb8d990e2"/>
        </w:rPr>
        <w:t xml:space="preserve"> également admis qu</w:t>
      </w:r>
      <w:r w:rsidR="00C419B2">
        <w:rPr>
          <w:rStyle w:val="sb8d990e2"/>
        </w:rPr>
        <w:t>’</w:t>
      </w:r>
      <w:r w:rsidR="001847DD">
        <w:rPr>
          <w:rStyle w:val="sb8d990e2"/>
        </w:rPr>
        <w:t>une discrimination potentiellement contraire à la Convention p</w:t>
      </w:r>
      <w:r w:rsidR="005F53A7">
        <w:rPr>
          <w:rStyle w:val="sb8d990e2"/>
        </w:rPr>
        <w:t>ouvait</w:t>
      </w:r>
      <w:r w:rsidR="001847DD">
        <w:rPr>
          <w:rStyle w:val="sb8d990e2"/>
        </w:rPr>
        <w:t xml:space="preserve"> résulter d</w:t>
      </w:r>
      <w:r w:rsidR="00C419B2">
        <w:rPr>
          <w:rStyle w:val="sb8d990e2"/>
        </w:rPr>
        <w:t>’</w:t>
      </w:r>
      <w:r w:rsidR="001847DD">
        <w:rPr>
          <w:rStyle w:val="sb8d990e2"/>
        </w:rPr>
        <w:t>une situation de fait (</w:t>
      </w:r>
      <w:r w:rsidR="001847DD" w:rsidRPr="001847DD">
        <w:rPr>
          <w:rStyle w:val="s6b621b36"/>
          <w:i/>
        </w:rPr>
        <w:t>Zarb Adami c. Malte</w:t>
      </w:r>
      <w:r w:rsidR="001847DD">
        <w:rPr>
          <w:rStyle w:val="sb8d990e2"/>
        </w:rPr>
        <w:t>, n</w:t>
      </w:r>
      <w:r w:rsidR="001847DD" w:rsidRPr="005F53A7">
        <w:rPr>
          <w:rStyle w:val="sea881cdf"/>
          <w:vertAlign w:val="superscript"/>
        </w:rPr>
        <w:t>o</w:t>
      </w:r>
      <w:r w:rsidR="001847DD">
        <w:rPr>
          <w:rStyle w:val="sb8d990e2"/>
        </w:rPr>
        <w:t> 17209/02, § 76, CEDH 2006</w:t>
      </w:r>
      <w:r w:rsidR="001847DD">
        <w:rPr>
          <w:rStyle w:val="sb8d990e2"/>
        </w:rPr>
        <w:noBreakHyphen/>
        <w:t>VIII). Lorsqu</w:t>
      </w:r>
      <w:r w:rsidR="00C419B2">
        <w:rPr>
          <w:rStyle w:val="sb8d990e2"/>
        </w:rPr>
        <w:t>’</w:t>
      </w:r>
      <w:r w:rsidR="001847DD">
        <w:rPr>
          <w:rStyle w:val="sb8d990e2"/>
        </w:rPr>
        <w:t>un requérant produit un commencement de preuve de discrimination relativement à l</w:t>
      </w:r>
      <w:r w:rsidR="00C419B2">
        <w:rPr>
          <w:rStyle w:val="sb8d990e2"/>
        </w:rPr>
        <w:t>’</w:t>
      </w:r>
      <w:r w:rsidR="001847DD">
        <w:rPr>
          <w:rStyle w:val="sb8d990e2"/>
        </w:rPr>
        <w:t>effet d</w:t>
      </w:r>
      <w:r w:rsidR="00C419B2">
        <w:rPr>
          <w:rStyle w:val="sb8d990e2"/>
        </w:rPr>
        <w:t>’</w:t>
      </w:r>
      <w:r w:rsidR="001847DD">
        <w:rPr>
          <w:rStyle w:val="sb8d990e2"/>
        </w:rPr>
        <w:t>une mesure ou d</w:t>
      </w:r>
      <w:r w:rsidR="00C419B2">
        <w:rPr>
          <w:rStyle w:val="sb8d990e2"/>
        </w:rPr>
        <w:t>’</w:t>
      </w:r>
      <w:r w:rsidR="001847DD">
        <w:rPr>
          <w:rStyle w:val="sb8d990e2"/>
        </w:rPr>
        <w:t>une pratique, la charge de la preuve incombe ensuite à l</w:t>
      </w:r>
      <w:r w:rsidR="00C419B2">
        <w:rPr>
          <w:rStyle w:val="sb8d990e2"/>
        </w:rPr>
        <w:t>’</w:t>
      </w:r>
      <w:r w:rsidR="001847DD">
        <w:rPr>
          <w:rStyle w:val="sb8d990e2"/>
        </w:rPr>
        <w:t>Etat défendeur, qui doit démontrer que la différence de traitement est justifiée (</w:t>
      </w:r>
      <w:r w:rsidR="001847DD" w:rsidRPr="001847DD">
        <w:rPr>
          <w:rStyle w:val="s6b621b36"/>
          <w:i/>
        </w:rPr>
        <w:t>D.H. et autres c. République tchèque</w:t>
      </w:r>
      <w:r w:rsidR="001847DD">
        <w:rPr>
          <w:rStyle w:val="sb8d990e2"/>
        </w:rPr>
        <w:t xml:space="preserve">, </w:t>
      </w:r>
      <w:r w:rsidR="00162C43">
        <w:rPr>
          <w:rStyle w:val="sb8d990e2"/>
        </w:rPr>
        <w:t>précité</w:t>
      </w:r>
      <w:r w:rsidR="001847DD">
        <w:rPr>
          <w:rStyle w:val="sb8d990e2"/>
        </w:rPr>
        <w:t>, §§ 180 et 189).</w:t>
      </w:r>
    </w:p>
    <w:p w:rsidR="00AA3CC6" w:rsidRDefault="00AA3CC6" w:rsidP="00AA3CC6">
      <w:pPr>
        <w:pStyle w:val="JuHa0"/>
      </w:pPr>
      <w:r>
        <w:t xml:space="preserve">b)  Application des principes </w:t>
      </w:r>
      <w:r w:rsidR="00B4617B">
        <w:t>à la présente affaire</w:t>
      </w:r>
    </w:p>
    <w:p w:rsidR="0069452A" w:rsidRDefault="00970717"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79</w:t>
      </w:r>
      <w:r>
        <w:rPr>
          <w:rStyle w:val="sb8d990e2"/>
        </w:rPr>
        <w:fldChar w:fldCharType="end"/>
      </w:r>
      <w:r>
        <w:rPr>
          <w:rStyle w:val="sb8d990e2"/>
        </w:rPr>
        <w:t>.  </w:t>
      </w:r>
      <w:r w:rsidR="0069452A">
        <w:rPr>
          <w:rStyle w:val="sb8d990e2"/>
        </w:rPr>
        <w:t>En l</w:t>
      </w:r>
      <w:r w:rsidR="00C419B2">
        <w:rPr>
          <w:rStyle w:val="sb8d990e2"/>
        </w:rPr>
        <w:t>’</w:t>
      </w:r>
      <w:r w:rsidR="0069452A">
        <w:rPr>
          <w:rStyle w:val="sb8d990e2"/>
        </w:rPr>
        <w:t>espèce, les requérants se plaignent d</w:t>
      </w:r>
      <w:r w:rsidR="00C419B2">
        <w:rPr>
          <w:rStyle w:val="sb8d990e2"/>
        </w:rPr>
        <w:t>’</w:t>
      </w:r>
      <w:r w:rsidR="0069452A">
        <w:rPr>
          <w:rStyle w:val="sb8d990e2"/>
        </w:rPr>
        <w:t>une discrimination relativement à leur droit d</w:t>
      </w:r>
      <w:r w:rsidR="00C419B2">
        <w:rPr>
          <w:rStyle w:val="sb8d990e2"/>
        </w:rPr>
        <w:t>’</w:t>
      </w:r>
      <w:r w:rsidR="0069452A">
        <w:rPr>
          <w:rStyle w:val="sb8d990e2"/>
        </w:rPr>
        <w:t>instruction en ce qu</w:t>
      </w:r>
      <w:r w:rsidR="00A2086A">
        <w:rPr>
          <w:rStyle w:val="sb8d990e2"/>
        </w:rPr>
        <w:t xml:space="preserve">e, </w:t>
      </w:r>
      <w:r w:rsidR="0069452A">
        <w:rPr>
          <w:rStyle w:val="sb8d990e2"/>
        </w:rPr>
        <w:t>en dépit des conclusions de la Cour dans l</w:t>
      </w:r>
      <w:r w:rsidR="00C419B2">
        <w:rPr>
          <w:rStyle w:val="sb8d990e2"/>
        </w:rPr>
        <w:t>’</w:t>
      </w:r>
      <w:r w:rsidR="0069452A">
        <w:rPr>
          <w:rStyle w:val="sb8d990e2"/>
        </w:rPr>
        <w:t xml:space="preserve">arrêt </w:t>
      </w:r>
      <w:r w:rsidR="0069452A" w:rsidRPr="0069452A">
        <w:rPr>
          <w:rStyle w:val="sb8d990e2"/>
          <w:i/>
        </w:rPr>
        <w:t>Sampanis et autres c. Grèce</w:t>
      </w:r>
      <w:r w:rsidR="0069452A">
        <w:rPr>
          <w:rStyle w:val="sb8d990e2"/>
        </w:rPr>
        <w:t xml:space="preserve"> </w:t>
      </w:r>
      <w:r w:rsidR="000304B9">
        <w:rPr>
          <w:rStyle w:val="sb8d990e2"/>
        </w:rPr>
        <w:t>(</w:t>
      </w:r>
      <w:r w:rsidR="0069452A">
        <w:rPr>
          <w:rStyle w:val="sb8d990e2"/>
        </w:rPr>
        <w:t>précité</w:t>
      </w:r>
      <w:r w:rsidR="000304B9">
        <w:rPr>
          <w:rStyle w:val="sb8d990e2"/>
        </w:rPr>
        <w:t>)</w:t>
      </w:r>
      <w:r w:rsidR="0069452A">
        <w:rPr>
          <w:rStyle w:val="sb8d990e2"/>
        </w:rPr>
        <w:t xml:space="preserve">, ils </w:t>
      </w:r>
      <w:r w:rsidR="000304B9">
        <w:rPr>
          <w:rStyle w:val="sb8d990e2"/>
        </w:rPr>
        <w:t>auraient</w:t>
      </w:r>
      <w:r w:rsidR="0069452A">
        <w:rPr>
          <w:rStyle w:val="sb8d990e2"/>
        </w:rPr>
        <w:t xml:space="preserve"> continué à être placés</w:t>
      </w:r>
      <w:r w:rsidR="00A2086A">
        <w:rPr>
          <w:rStyle w:val="sb8d990e2"/>
        </w:rPr>
        <w:t>,</w:t>
      </w:r>
      <w:r w:rsidR="005333F8">
        <w:rPr>
          <w:rStyle w:val="sb8d990e2"/>
        </w:rPr>
        <w:t xml:space="preserve"> sur la base de critères purement ethniques,</w:t>
      </w:r>
      <w:r w:rsidR="0069452A">
        <w:rPr>
          <w:rStyle w:val="sb8d990e2"/>
        </w:rPr>
        <w:t xml:space="preserve"> pendant les années scolaires 2008-2009 et 2009-2010, </w:t>
      </w:r>
      <w:r w:rsidR="005333F8">
        <w:rPr>
          <w:rStyle w:val="sb8d990e2"/>
        </w:rPr>
        <w:t xml:space="preserve">dans une école </w:t>
      </w:r>
      <w:r w:rsidR="00A2086A">
        <w:rPr>
          <w:rStyle w:val="sb8d990e2"/>
        </w:rPr>
        <w:t xml:space="preserve">qui aurait été </w:t>
      </w:r>
      <w:r w:rsidR="005333F8">
        <w:rPr>
          <w:rStyle w:val="sb8d990e2"/>
        </w:rPr>
        <w:t>séparée des écoles fréquentées par les élèves non</w:t>
      </w:r>
      <w:r w:rsidR="000304B9">
        <w:rPr>
          <w:rStyle w:val="sb8d990e2"/>
        </w:rPr>
        <w:t xml:space="preserve"> </w:t>
      </w:r>
      <w:r w:rsidR="005333F8">
        <w:rPr>
          <w:rStyle w:val="sb8d990e2"/>
        </w:rPr>
        <w:t>roms et dont l</w:t>
      </w:r>
      <w:r w:rsidR="00C419B2">
        <w:rPr>
          <w:rStyle w:val="sb8d990e2"/>
        </w:rPr>
        <w:t>’</w:t>
      </w:r>
      <w:r w:rsidR="005333F8">
        <w:rPr>
          <w:rStyle w:val="sb8d990e2"/>
        </w:rPr>
        <w:t xml:space="preserve">état </w:t>
      </w:r>
      <w:r w:rsidR="00A2086A">
        <w:rPr>
          <w:rStyle w:val="sb8d990e2"/>
        </w:rPr>
        <w:t xml:space="preserve">aurait </w:t>
      </w:r>
      <w:r w:rsidR="005333F8">
        <w:rPr>
          <w:rStyle w:val="sb8d990e2"/>
        </w:rPr>
        <w:t>exclu de fait toute scolarité effective.</w:t>
      </w:r>
    </w:p>
    <w:p w:rsidR="00AA3CC6" w:rsidRDefault="00970717"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80</w:t>
      </w:r>
      <w:r>
        <w:rPr>
          <w:rStyle w:val="sb8d990e2"/>
        </w:rPr>
        <w:fldChar w:fldCharType="end"/>
      </w:r>
      <w:r>
        <w:rPr>
          <w:rStyle w:val="sb8d990e2"/>
        </w:rPr>
        <w:t>.  </w:t>
      </w:r>
      <w:r w:rsidR="003F0629">
        <w:rPr>
          <w:rStyle w:val="sb8d990e2"/>
        </w:rPr>
        <w:t>La Cour observe d</w:t>
      </w:r>
      <w:r w:rsidR="00C419B2">
        <w:rPr>
          <w:rStyle w:val="sb8d990e2"/>
        </w:rPr>
        <w:t>’</w:t>
      </w:r>
      <w:r w:rsidR="003F0629">
        <w:rPr>
          <w:rStyle w:val="sb8d990e2"/>
        </w:rPr>
        <w:t>emblée qu</w:t>
      </w:r>
      <w:r w:rsidR="00C419B2">
        <w:rPr>
          <w:rStyle w:val="sb8d990e2"/>
        </w:rPr>
        <w:t>’</w:t>
      </w:r>
      <w:r w:rsidR="003F0629">
        <w:rPr>
          <w:rStyle w:val="sb8d990e2"/>
        </w:rPr>
        <w:t>elle se trouve confrontée à des versions divergentes sur certains</w:t>
      </w:r>
      <w:r w:rsidR="00DD6B07">
        <w:rPr>
          <w:rStyle w:val="sb8d990e2"/>
        </w:rPr>
        <w:t xml:space="preserve"> éléments de fait, notamment en ce qui concerne l</w:t>
      </w:r>
      <w:r w:rsidR="00C419B2">
        <w:rPr>
          <w:rStyle w:val="sb8d990e2"/>
        </w:rPr>
        <w:t>’</w:t>
      </w:r>
      <w:r w:rsidR="00DD6B07">
        <w:rPr>
          <w:rStyle w:val="sb8d990e2"/>
        </w:rPr>
        <w:t>état général de la 12</w:t>
      </w:r>
      <w:r w:rsidR="00DD6B07" w:rsidRPr="00DD6B07">
        <w:rPr>
          <w:rStyle w:val="sb8d990e2"/>
          <w:vertAlign w:val="superscript"/>
        </w:rPr>
        <w:t>e</w:t>
      </w:r>
      <w:r w:rsidR="00DD6B07">
        <w:rPr>
          <w:rStyle w:val="sb8d990e2"/>
        </w:rPr>
        <w:t xml:space="preserve"> école et la situation individuelle de certains élèves.</w:t>
      </w:r>
    </w:p>
    <w:p w:rsidR="003F0629" w:rsidRDefault="00970717"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81</w:t>
      </w:r>
      <w:r>
        <w:rPr>
          <w:rStyle w:val="sb8d990e2"/>
        </w:rPr>
        <w:fldChar w:fldCharType="end"/>
      </w:r>
      <w:r>
        <w:rPr>
          <w:rStyle w:val="sb8d990e2"/>
        </w:rPr>
        <w:t>.  </w:t>
      </w:r>
      <w:r w:rsidR="003F0629">
        <w:rPr>
          <w:rStyle w:val="sb8d990e2"/>
        </w:rPr>
        <w:t>La Cour rappelle qu</w:t>
      </w:r>
      <w:r w:rsidR="00C419B2">
        <w:rPr>
          <w:rStyle w:val="sb8d990e2"/>
        </w:rPr>
        <w:t>’</w:t>
      </w:r>
      <w:r w:rsidR="003F0629">
        <w:rPr>
          <w:rStyle w:val="sb8d990e2"/>
        </w:rPr>
        <w:t>elle demeure libre de se livrer à sa propre évaluation à la lumière de l</w:t>
      </w:r>
      <w:r w:rsidR="00C419B2">
        <w:rPr>
          <w:rStyle w:val="sb8d990e2"/>
        </w:rPr>
        <w:t>’</w:t>
      </w:r>
      <w:r w:rsidR="003F0629">
        <w:rPr>
          <w:rStyle w:val="sb8d990e2"/>
        </w:rPr>
        <w:t>ensemble des éléments dont elle dispose. Elle note aussi que</w:t>
      </w:r>
      <w:r w:rsidR="00A2086A">
        <w:rPr>
          <w:rStyle w:val="sb8d990e2"/>
        </w:rPr>
        <w:t>,</w:t>
      </w:r>
      <w:r w:rsidR="003F0629">
        <w:rPr>
          <w:rStyle w:val="sb8d990e2"/>
        </w:rPr>
        <w:t xml:space="preserve"> même si plusieurs faits demeurent incertains, il existe suffisamment d</w:t>
      </w:r>
      <w:r w:rsidR="00C419B2">
        <w:rPr>
          <w:rStyle w:val="sb8d990e2"/>
        </w:rPr>
        <w:t>’</w:t>
      </w:r>
      <w:r w:rsidR="003F0629">
        <w:rPr>
          <w:rStyle w:val="sb8d990e2"/>
        </w:rPr>
        <w:t xml:space="preserve">éléments factuels </w:t>
      </w:r>
      <w:r w:rsidR="007E71EE">
        <w:rPr>
          <w:rStyle w:val="sb8d990e2"/>
        </w:rPr>
        <w:t xml:space="preserve">objectifs </w:t>
      </w:r>
      <w:r w:rsidR="003F0629">
        <w:rPr>
          <w:rStyle w:val="sb8d990e2"/>
        </w:rPr>
        <w:t xml:space="preserve">ressortant des documents soumis </w:t>
      </w:r>
      <w:r w:rsidR="003F0629" w:rsidRPr="00A2086A">
        <w:rPr>
          <w:rStyle w:val="sb8d990e2"/>
        </w:rPr>
        <w:t>par les parties pour qu</w:t>
      </w:r>
      <w:r w:rsidR="00C419B2">
        <w:rPr>
          <w:rStyle w:val="sb8d990e2"/>
        </w:rPr>
        <w:t>’</w:t>
      </w:r>
      <w:r w:rsidR="003F0629" w:rsidRPr="00A2086A">
        <w:rPr>
          <w:rStyle w:val="sb8d990e2"/>
        </w:rPr>
        <w:t>elle puisse apprécier l</w:t>
      </w:r>
      <w:r w:rsidR="00C419B2">
        <w:rPr>
          <w:rStyle w:val="sb8d990e2"/>
        </w:rPr>
        <w:t>’</w:t>
      </w:r>
      <w:r w:rsidR="003F0629" w:rsidRPr="00A2086A">
        <w:rPr>
          <w:rStyle w:val="sb8d990e2"/>
        </w:rPr>
        <w:t xml:space="preserve">affaire (voir, </w:t>
      </w:r>
      <w:r w:rsidR="003F0629" w:rsidRPr="00A2086A">
        <w:rPr>
          <w:rStyle w:val="sb8d990e2"/>
          <w:i/>
        </w:rPr>
        <w:t>mutatis mutandis</w:t>
      </w:r>
      <w:r w:rsidR="003F0629" w:rsidRPr="00A2086A">
        <w:rPr>
          <w:rStyle w:val="sb8d990e2"/>
        </w:rPr>
        <w:t>,</w:t>
      </w:r>
      <w:r w:rsidR="003F0629">
        <w:rPr>
          <w:rStyle w:val="sb8d990e2"/>
        </w:rPr>
        <w:t xml:space="preserve"> </w:t>
      </w:r>
      <w:r w:rsidR="003F0629" w:rsidRPr="003F0629">
        <w:rPr>
          <w:rStyle w:val="sb8d990e2"/>
          <w:i/>
        </w:rPr>
        <w:t>Sampanis et autres</w:t>
      </w:r>
      <w:r w:rsidR="000304B9" w:rsidRPr="000304B9">
        <w:rPr>
          <w:rStyle w:val="sb8d990e2"/>
        </w:rPr>
        <w:t>,</w:t>
      </w:r>
      <w:r w:rsidR="000304B9">
        <w:rPr>
          <w:rStyle w:val="sb8d990e2"/>
          <w:i/>
        </w:rPr>
        <w:t xml:space="preserve"> </w:t>
      </w:r>
      <w:r w:rsidR="003F0629">
        <w:rPr>
          <w:rStyle w:val="sb8d990e2"/>
        </w:rPr>
        <w:t>précité, § 75).</w:t>
      </w:r>
    </w:p>
    <w:p w:rsidR="003F0629" w:rsidRDefault="00970717" w:rsidP="00076451">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82</w:t>
      </w:r>
      <w:r>
        <w:rPr>
          <w:rStyle w:val="sb8d990e2"/>
        </w:rPr>
        <w:fldChar w:fldCharType="end"/>
      </w:r>
      <w:r>
        <w:rPr>
          <w:rStyle w:val="sb8d990e2"/>
        </w:rPr>
        <w:t>.  </w:t>
      </w:r>
      <w:r w:rsidR="003F0629">
        <w:rPr>
          <w:rStyle w:val="sb8d990e2"/>
        </w:rPr>
        <w:t>La Cour examinera, dans un premier temps, si les faits de la cause laissent ou non présumer l</w:t>
      </w:r>
      <w:r w:rsidR="00C419B2">
        <w:rPr>
          <w:rStyle w:val="sb8d990e2"/>
        </w:rPr>
        <w:t>’</w:t>
      </w:r>
      <w:r w:rsidR="003F0629">
        <w:rPr>
          <w:rStyle w:val="sb8d990e2"/>
        </w:rPr>
        <w:t>existence d</w:t>
      </w:r>
      <w:r w:rsidR="00C419B2">
        <w:rPr>
          <w:rStyle w:val="sb8d990e2"/>
        </w:rPr>
        <w:t>’</w:t>
      </w:r>
      <w:r w:rsidR="003F0629">
        <w:rPr>
          <w:rStyle w:val="sb8d990e2"/>
        </w:rPr>
        <w:t xml:space="preserve">une </w:t>
      </w:r>
      <w:r w:rsidR="001A0259">
        <w:rPr>
          <w:rStyle w:val="sb8d990e2"/>
        </w:rPr>
        <w:t>différence de traitement</w:t>
      </w:r>
      <w:r w:rsidR="003F0629">
        <w:rPr>
          <w:rStyle w:val="sb8d990e2"/>
        </w:rPr>
        <w:t>. Dans l</w:t>
      </w:r>
      <w:r w:rsidR="00C419B2">
        <w:rPr>
          <w:rStyle w:val="sb8d990e2"/>
        </w:rPr>
        <w:t>’</w:t>
      </w:r>
      <w:r w:rsidR="003F0629">
        <w:rPr>
          <w:rStyle w:val="sb8d990e2"/>
        </w:rPr>
        <w:t xml:space="preserve">affirmative, elle recherchera </w:t>
      </w:r>
      <w:r w:rsidR="00A2086A">
        <w:rPr>
          <w:rStyle w:val="sb8d990e2"/>
        </w:rPr>
        <w:t>en</w:t>
      </w:r>
      <w:r w:rsidR="003F0629">
        <w:rPr>
          <w:rStyle w:val="sb8d990e2"/>
        </w:rPr>
        <w:t xml:space="preserve">suite si la </w:t>
      </w:r>
      <w:r w:rsidR="001A0259">
        <w:rPr>
          <w:rStyle w:val="sb8d990e2"/>
        </w:rPr>
        <w:t xml:space="preserve">distinction </w:t>
      </w:r>
      <w:r w:rsidR="003F0629">
        <w:rPr>
          <w:rStyle w:val="sb8d990e2"/>
        </w:rPr>
        <w:t>présumée se fondait sur une base objective et raisonnable.</w:t>
      </w:r>
    </w:p>
    <w:p w:rsidR="00880EF6" w:rsidRDefault="00880EF6" w:rsidP="00880EF6">
      <w:pPr>
        <w:pStyle w:val="JuHi"/>
      </w:pPr>
      <w:r>
        <w:t>i</w:t>
      </w:r>
      <w:r w:rsidR="00B4617B">
        <w:t>.</w:t>
      </w:r>
      <w:r>
        <w:t>  Sur le point de savoir s</w:t>
      </w:r>
      <w:r w:rsidR="00C419B2">
        <w:t>’</w:t>
      </w:r>
      <w:r>
        <w:t>il y a eu une différence de traitement</w:t>
      </w:r>
    </w:p>
    <w:p w:rsidR="00D478FC" w:rsidRDefault="00970717" w:rsidP="00D478FC">
      <w:pPr>
        <w:pStyle w:val="JuPara"/>
      </w:pPr>
      <w:r>
        <w:fldChar w:fldCharType="begin"/>
      </w:r>
      <w:r>
        <w:instrText xml:space="preserve"> SEQ level0 \*arabic </w:instrText>
      </w:r>
      <w:r>
        <w:fldChar w:fldCharType="separate"/>
      </w:r>
      <w:r w:rsidR="00E555B3">
        <w:rPr>
          <w:noProof/>
        </w:rPr>
        <w:t>83</w:t>
      </w:r>
      <w:r>
        <w:fldChar w:fldCharType="end"/>
      </w:r>
      <w:r>
        <w:t>.  </w:t>
      </w:r>
      <w:r w:rsidR="007E71EE">
        <w:t>La Cour rappelle que</w:t>
      </w:r>
      <w:r w:rsidR="00A2086A">
        <w:t>,</w:t>
      </w:r>
      <w:r w:rsidR="007E71EE">
        <w:t xml:space="preserve"> dans l</w:t>
      </w:r>
      <w:r w:rsidR="00C419B2">
        <w:t>’</w:t>
      </w:r>
      <w:r w:rsidR="007E71EE">
        <w:t xml:space="preserve">arrêt </w:t>
      </w:r>
      <w:r w:rsidR="007E71EE" w:rsidRPr="007E71EE">
        <w:rPr>
          <w:i/>
        </w:rPr>
        <w:t>Sampanis et autres c. Grèce</w:t>
      </w:r>
      <w:r w:rsidR="007E71EE">
        <w:t xml:space="preserve"> </w:t>
      </w:r>
      <w:r w:rsidR="00A2086A">
        <w:t>(</w:t>
      </w:r>
      <w:r w:rsidR="007E71EE">
        <w:t>précité</w:t>
      </w:r>
      <w:r w:rsidR="00A2086A">
        <w:t>)</w:t>
      </w:r>
      <w:r w:rsidR="007E71EE">
        <w:t>, elle a conclu que les éléments de preuve présentés par les requérants et ceux figurant au dossier de l</w:t>
      </w:r>
      <w:r w:rsidR="00C419B2">
        <w:t>’</w:t>
      </w:r>
      <w:r w:rsidR="007E71EE">
        <w:t>affaire faisaient naître une forte présomption de</w:t>
      </w:r>
      <w:r w:rsidR="00AC7F03">
        <w:t xml:space="preserve"> discrimination </w:t>
      </w:r>
      <w:r w:rsidR="000304B9">
        <w:t>exercée contre les intéressés</w:t>
      </w:r>
      <w:r w:rsidR="00AC7F03">
        <w:t xml:space="preserve"> : </w:t>
      </w:r>
      <w:r w:rsidR="000304B9">
        <w:t>c</w:t>
      </w:r>
      <w:r w:rsidR="00AC7F03">
        <w:t>elle</w:t>
      </w:r>
      <w:r w:rsidR="000304B9">
        <w:t>-ci</w:t>
      </w:r>
      <w:r w:rsidR="00AC7F03">
        <w:t xml:space="preserve"> résultait de la </w:t>
      </w:r>
      <w:r w:rsidR="00AC7F03">
        <w:rPr>
          <w:rStyle w:val="sb8d990e2"/>
        </w:rPr>
        <w:t>pratique consistant</w:t>
      </w:r>
      <w:r w:rsidR="007E1676">
        <w:rPr>
          <w:rStyle w:val="sb8d990e2"/>
        </w:rPr>
        <w:t>,</w:t>
      </w:r>
      <w:r w:rsidR="00AC7F03">
        <w:rPr>
          <w:rStyle w:val="sb8d990e2"/>
        </w:rPr>
        <w:t xml:space="preserve"> </w:t>
      </w:r>
      <w:r w:rsidR="007E1676">
        <w:rPr>
          <w:rStyle w:val="sb8d990e2"/>
        </w:rPr>
        <w:t>pendant l</w:t>
      </w:r>
      <w:r w:rsidR="00C419B2">
        <w:rPr>
          <w:rStyle w:val="sb8d990e2"/>
        </w:rPr>
        <w:t>’</w:t>
      </w:r>
      <w:r w:rsidR="007E1676">
        <w:rPr>
          <w:rStyle w:val="sb8d990e2"/>
        </w:rPr>
        <w:t xml:space="preserve">année scolaire 2004-2005, </w:t>
      </w:r>
      <w:r w:rsidR="00AC7F03">
        <w:rPr>
          <w:rStyle w:val="sb8d990e2"/>
        </w:rPr>
        <w:t>à commencer par refuser d</w:t>
      </w:r>
      <w:r w:rsidR="00C419B2">
        <w:rPr>
          <w:rStyle w:val="sb8d990e2"/>
        </w:rPr>
        <w:t>’</w:t>
      </w:r>
      <w:r w:rsidR="00AC7F03">
        <w:rPr>
          <w:rStyle w:val="sb8d990e2"/>
        </w:rPr>
        <w:t>inscrire les enfants roms à l</w:t>
      </w:r>
      <w:r w:rsidR="00C419B2">
        <w:rPr>
          <w:rStyle w:val="sb8d990e2"/>
        </w:rPr>
        <w:t>’</w:t>
      </w:r>
      <w:r w:rsidR="00AC7F03">
        <w:rPr>
          <w:rStyle w:val="sb8d990e2"/>
        </w:rPr>
        <w:t>école pour ensuite les placer dans des classes spéciales logées dans une annexe du bâtiment principal de la 10</w:t>
      </w:r>
      <w:r w:rsidR="00AC7F03" w:rsidRPr="00AC7F03">
        <w:rPr>
          <w:rStyle w:val="sb8d990e2"/>
          <w:vertAlign w:val="superscript"/>
        </w:rPr>
        <w:t>e</w:t>
      </w:r>
      <w:r w:rsidR="00AC7F03">
        <w:rPr>
          <w:rStyle w:val="sb8d990e2"/>
        </w:rPr>
        <w:t xml:space="preserve"> école primaire, combinée à un certain nombre d</w:t>
      </w:r>
      <w:r w:rsidR="00C419B2">
        <w:rPr>
          <w:rStyle w:val="sb8d990e2"/>
        </w:rPr>
        <w:t>’</w:t>
      </w:r>
      <w:r w:rsidR="00AC7F03">
        <w:rPr>
          <w:rStyle w:val="sb8d990e2"/>
        </w:rPr>
        <w:t>incidents à caractère raciste survenus dans l</w:t>
      </w:r>
      <w:r w:rsidR="00C419B2">
        <w:rPr>
          <w:rStyle w:val="sb8d990e2"/>
        </w:rPr>
        <w:t>’</w:t>
      </w:r>
      <w:r w:rsidR="00AC7F03">
        <w:rPr>
          <w:rStyle w:val="sb8d990e2"/>
        </w:rPr>
        <w:t>école à l</w:t>
      </w:r>
      <w:r w:rsidR="00C419B2">
        <w:rPr>
          <w:rStyle w:val="sb8d990e2"/>
        </w:rPr>
        <w:t>’</w:t>
      </w:r>
      <w:r w:rsidR="00AC7F03">
        <w:rPr>
          <w:rStyle w:val="sb8d990e2"/>
        </w:rPr>
        <w:t>instigation des parents d</w:t>
      </w:r>
      <w:r w:rsidR="00C419B2">
        <w:rPr>
          <w:rStyle w:val="sb8d990e2"/>
        </w:rPr>
        <w:t>’</w:t>
      </w:r>
      <w:r w:rsidR="00AC7F03">
        <w:rPr>
          <w:rStyle w:val="sb8d990e2"/>
        </w:rPr>
        <w:t>enfants non roms</w:t>
      </w:r>
      <w:r w:rsidR="000251D9">
        <w:rPr>
          <w:rStyle w:val="sb8d990e2"/>
        </w:rPr>
        <w:t xml:space="preserve"> (</w:t>
      </w:r>
      <w:r w:rsidR="000304B9" w:rsidRPr="007E71EE">
        <w:rPr>
          <w:i/>
        </w:rPr>
        <w:t>Sampanis et autres</w:t>
      </w:r>
      <w:r w:rsidR="000304B9">
        <w:rPr>
          <w:rStyle w:val="sb8d990e2"/>
        </w:rPr>
        <w:t xml:space="preserve">, précité, </w:t>
      </w:r>
      <w:r w:rsidR="000251D9">
        <w:rPr>
          <w:rStyle w:val="sb8d990e2"/>
        </w:rPr>
        <w:t>§§ 81-83)</w:t>
      </w:r>
      <w:r w:rsidR="00AC7F03">
        <w:rPr>
          <w:rStyle w:val="sb8d990e2"/>
        </w:rPr>
        <w:t>.</w:t>
      </w:r>
      <w:r w:rsidR="00D478FC">
        <w:rPr>
          <w:rStyle w:val="sb8d990e2"/>
        </w:rPr>
        <w:t xml:space="preserve"> A cet égard, la Cour note que </w:t>
      </w:r>
      <w:r w:rsidR="00D478FC">
        <w:t>la réunion du 11 mars 2008, organisée à la 10</w:t>
      </w:r>
      <w:r w:rsidR="00D478FC" w:rsidRPr="00C64707">
        <w:rPr>
          <w:vertAlign w:val="superscript"/>
        </w:rPr>
        <w:t>e</w:t>
      </w:r>
      <w:r w:rsidR="00D478FC">
        <w:t xml:space="preserve"> école par le médiateur de la République dans le but de convaincre les parents d</w:t>
      </w:r>
      <w:r w:rsidR="00C419B2">
        <w:t>’</w:t>
      </w:r>
      <w:r w:rsidR="00D478FC">
        <w:t>élèves non roms de renoncer à leur opposition à l</w:t>
      </w:r>
      <w:r w:rsidR="00C419B2">
        <w:t>’</w:t>
      </w:r>
      <w:r w:rsidR="00D478FC">
        <w:t>intégration d</w:t>
      </w:r>
      <w:r w:rsidR="00C419B2">
        <w:t>’</w:t>
      </w:r>
      <w:r w:rsidR="00D478FC">
        <w:t>élèves roms dans des cl</w:t>
      </w:r>
      <w:r w:rsidR="00F74102">
        <w:t>asses ordinaires</w:t>
      </w:r>
      <w:r w:rsidR="00D478FC">
        <w:t xml:space="preserve"> n</w:t>
      </w:r>
      <w:r w:rsidR="00C419B2">
        <w:t>’</w:t>
      </w:r>
      <w:r w:rsidR="00D478FC">
        <w:t>a pas abouti en raison d</w:t>
      </w:r>
      <w:r w:rsidR="00C419B2">
        <w:t>’</w:t>
      </w:r>
      <w:r w:rsidR="00D478FC">
        <w:t>une intervention hostile du maire d</w:t>
      </w:r>
      <w:r w:rsidR="00C419B2">
        <w:t>’</w:t>
      </w:r>
      <w:r w:rsidR="00D478FC">
        <w:t>Aspropyrgos</w:t>
      </w:r>
      <w:r w:rsidR="00E62EFF">
        <w:t>.</w:t>
      </w:r>
      <w:r w:rsidR="00D478FC">
        <w:t xml:space="preserve"> </w:t>
      </w:r>
      <w:r w:rsidR="00E62EFF">
        <w:t>I</w:t>
      </w:r>
      <w:r w:rsidR="00D478FC">
        <w:t>l n</w:t>
      </w:r>
      <w:r w:rsidR="00C419B2">
        <w:t>’</w:t>
      </w:r>
      <w:r w:rsidR="00D478FC">
        <w:t>a même pas été possible d</w:t>
      </w:r>
      <w:r w:rsidR="00C419B2">
        <w:t>’</w:t>
      </w:r>
      <w:r w:rsidR="00D478FC">
        <w:t>inscrire dans les classes ordinaires trois élèves roms qui avaient un niveau scolaire suffisant.</w:t>
      </w:r>
    </w:p>
    <w:p w:rsidR="00B136CA" w:rsidRDefault="00970717" w:rsidP="00076451">
      <w:pPr>
        <w:pStyle w:val="JuPara"/>
      </w:pPr>
      <w:r>
        <w:fldChar w:fldCharType="begin"/>
      </w:r>
      <w:r>
        <w:instrText xml:space="preserve"> SEQ level0 \*arabic </w:instrText>
      </w:r>
      <w:r>
        <w:fldChar w:fldCharType="separate"/>
      </w:r>
      <w:r w:rsidR="00E555B3">
        <w:rPr>
          <w:noProof/>
        </w:rPr>
        <w:t>84</w:t>
      </w:r>
      <w:r>
        <w:fldChar w:fldCharType="end"/>
      </w:r>
      <w:r>
        <w:t>.  </w:t>
      </w:r>
      <w:r w:rsidR="007E1676">
        <w:t>Or la Cour note que</w:t>
      </w:r>
      <w:r w:rsidR="007F3906">
        <w:t>,</w:t>
      </w:r>
      <w:r w:rsidR="007E1676">
        <w:t xml:space="preserve"> pour l</w:t>
      </w:r>
      <w:r w:rsidR="001307A6">
        <w:t xml:space="preserve">es </w:t>
      </w:r>
      <w:r w:rsidR="007E1676">
        <w:t>année</w:t>
      </w:r>
      <w:r w:rsidR="001307A6">
        <w:t>s</w:t>
      </w:r>
      <w:r w:rsidR="007E1676">
        <w:t xml:space="preserve"> scolaire</w:t>
      </w:r>
      <w:r w:rsidR="001307A6">
        <w:t>s</w:t>
      </w:r>
      <w:r w:rsidR="007E1676">
        <w:t xml:space="preserve"> 2008-2009 </w:t>
      </w:r>
      <w:r w:rsidR="001307A6">
        <w:t>e</w:t>
      </w:r>
      <w:r w:rsidR="008E7E86">
        <w:t>t 2009</w:t>
      </w:r>
      <w:r w:rsidR="008E7E86">
        <w:noBreakHyphen/>
      </w:r>
      <w:r w:rsidR="001307A6">
        <w:t>2010 qui son</w:t>
      </w:r>
      <w:r w:rsidR="007E1676">
        <w:t>t en cause en l</w:t>
      </w:r>
      <w:r w:rsidR="00C419B2">
        <w:t>’</w:t>
      </w:r>
      <w:r w:rsidR="007E1676">
        <w:t>espèce, la situation n</w:t>
      </w:r>
      <w:r w:rsidR="00C419B2">
        <w:t>’</w:t>
      </w:r>
      <w:r w:rsidR="007E1676">
        <w:t xml:space="preserve">avait guère évolué. </w:t>
      </w:r>
      <w:r w:rsidR="001307A6">
        <w:t>Certes, les classes préparatoires spéciales situées dans l</w:t>
      </w:r>
      <w:r w:rsidR="00C419B2">
        <w:t>’</w:t>
      </w:r>
      <w:r w:rsidR="001307A6">
        <w:t>annexe de la 10</w:t>
      </w:r>
      <w:r w:rsidR="001307A6" w:rsidRPr="001307A6">
        <w:rPr>
          <w:vertAlign w:val="superscript"/>
        </w:rPr>
        <w:t>e</w:t>
      </w:r>
      <w:r w:rsidR="008E7E86">
        <w:t> </w:t>
      </w:r>
      <w:r w:rsidR="001307A6">
        <w:t>école avaient été supprimées et les ministres de l</w:t>
      </w:r>
      <w:r w:rsidR="00C419B2">
        <w:t>’</w:t>
      </w:r>
      <w:r w:rsidR="001307A6">
        <w:t>Education et des Finances avaient cré</w:t>
      </w:r>
      <w:r w:rsidR="004A0F4B">
        <w:t>é,</w:t>
      </w:r>
      <w:r w:rsidR="001307A6">
        <w:t xml:space="preserve"> le 25 janvier 2008, la 12</w:t>
      </w:r>
      <w:r w:rsidR="001307A6" w:rsidRPr="0037578C">
        <w:rPr>
          <w:vertAlign w:val="superscript"/>
        </w:rPr>
        <w:t>e</w:t>
      </w:r>
      <w:r w:rsidR="001307A6">
        <w:t xml:space="preserve"> école primaire d</w:t>
      </w:r>
      <w:r w:rsidR="00C419B2">
        <w:t>’</w:t>
      </w:r>
      <w:r w:rsidR="001307A6">
        <w:t>Aspropyrgos, qui était censée accueillir indistinctement des élèves roms et non</w:t>
      </w:r>
      <w:r w:rsidR="007F3906">
        <w:t xml:space="preserve"> </w:t>
      </w:r>
      <w:r w:rsidR="001307A6">
        <w:t>roms</w:t>
      </w:r>
      <w:r w:rsidR="004A0F4B">
        <w:t>.</w:t>
      </w:r>
    </w:p>
    <w:p w:rsidR="005D01C6" w:rsidRDefault="00970717" w:rsidP="00076451">
      <w:pPr>
        <w:pStyle w:val="JuPara"/>
      </w:pPr>
      <w:r>
        <w:fldChar w:fldCharType="begin"/>
      </w:r>
      <w:r>
        <w:instrText xml:space="preserve"> SEQ level0 \*arabic </w:instrText>
      </w:r>
      <w:r>
        <w:fldChar w:fldCharType="separate"/>
      </w:r>
      <w:r w:rsidR="00E555B3">
        <w:rPr>
          <w:noProof/>
        </w:rPr>
        <w:t>85</w:t>
      </w:r>
      <w:r>
        <w:fldChar w:fldCharType="end"/>
      </w:r>
      <w:r>
        <w:t>.  </w:t>
      </w:r>
      <w:r w:rsidR="00F56FC5">
        <w:t>Toutefois,</w:t>
      </w:r>
      <w:r w:rsidR="00F43259">
        <w:t xml:space="preserve"> </w:t>
      </w:r>
      <w:r w:rsidR="005D01C6">
        <w:t xml:space="preserve">certains éléments sont de nature à démontrer que </w:t>
      </w:r>
      <w:r w:rsidR="00C64707">
        <w:t xml:space="preserve">la </w:t>
      </w:r>
      <w:r w:rsidR="00A2086A">
        <w:t>12</w:t>
      </w:r>
      <w:r w:rsidR="00A2086A" w:rsidRPr="00C64707">
        <w:rPr>
          <w:vertAlign w:val="superscript"/>
        </w:rPr>
        <w:t>e</w:t>
      </w:r>
      <w:r w:rsidR="00A2086A">
        <w:t> </w:t>
      </w:r>
      <w:r w:rsidR="00C64707">
        <w:t>école, malgré les intentions des autorités éducatives, était</w:t>
      </w:r>
      <w:r w:rsidR="007F3906">
        <w:t xml:space="preserve"> restée</w:t>
      </w:r>
      <w:r w:rsidR="00C64707">
        <w:t xml:space="preserve"> une école réservée aux élèves roms</w:t>
      </w:r>
      <w:r w:rsidR="007F3906">
        <w:t>.</w:t>
      </w:r>
    </w:p>
    <w:p w:rsidR="00B136CA" w:rsidRDefault="00970717" w:rsidP="00076451">
      <w:pPr>
        <w:pStyle w:val="JuPara"/>
      </w:pPr>
      <w:r>
        <w:fldChar w:fldCharType="begin"/>
      </w:r>
      <w:r>
        <w:instrText xml:space="preserve"> SEQ level0 \*arabic </w:instrText>
      </w:r>
      <w:r>
        <w:fldChar w:fldCharType="separate"/>
      </w:r>
      <w:r w:rsidR="00E555B3">
        <w:rPr>
          <w:noProof/>
        </w:rPr>
        <w:t>86</w:t>
      </w:r>
      <w:r>
        <w:fldChar w:fldCharType="end"/>
      </w:r>
      <w:r>
        <w:t>.  </w:t>
      </w:r>
      <w:r w:rsidR="005A22EE">
        <w:t>L</w:t>
      </w:r>
      <w:r w:rsidR="00F54014">
        <w:t>a Cour note a</w:t>
      </w:r>
      <w:r w:rsidR="00C64707">
        <w:t>insi</w:t>
      </w:r>
      <w:r w:rsidR="00F54014">
        <w:t xml:space="preserve"> que</w:t>
      </w:r>
      <w:r w:rsidR="00C64707">
        <w:t xml:space="preserve"> </w:t>
      </w:r>
      <w:r w:rsidR="00674F6C">
        <w:t>les élèves roms du quartier de Psari ont continué à fréquenter</w:t>
      </w:r>
      <w:r w:rsidR="00E62EFF">
        <w:t>, durant toute la période mise en cause dans la présente affaire,</w:t>
      </w:r>
      <w:r w:rsidR="00674F6C">
        <w:t xml:space="preserve"> les locaux de l</w:t>
      </w:r>
      <w:r w:rsidR="00C419B2">
        <w:t>’</w:t>
      </w:r>
      <w:r w:rsidR="00674F6C">
        <w:t>annexe de la 10</w:t>
      </w:r>
      <w:r w:rsidR="00674F6C" w:rsidRPr="00674F6C">
        <w:rPr>
          <w:vertAlign w:val="superscript"/>
        </w:rPr>
        <w:t>e</w:t>
      </w:r>
      <w:r w:rsidR="00674F6C">
        <w:t xml:space="preserve"> école d</w:t>
      </w:r>
      <w:r w:rsidR="00C419B2">
        <w:t>’</w:t>
      </w:r>
      <w:r w:rsidR="00674F6C">
        <w:t>Aspropyrgos</w:t>
      </w:r>
      <w:r w:rsidR="00601E70">
        <w:t>,</w:t>
      </w:r>
      <w:r w:rsidR="00674F6C">
        <w:t xml:space="preserve"> rebaptisés 12</w:t>
      </w:r>
      <w:r w:rsidR="00674F6C" w:rsidRPr="00674F6C">
        <w:rPr>
          <w:vertAlign w:val="superscript"/>
        </w:rPr>
        <w:t>e</w:t>
      </w:r>
      <w:r w:rsidR="00AA7FB5">
        <w:t> </w:t>
      </w:r>
      <w:r w:rsidR="00674F6C">
        <w:t>école primaire d</w:t>
      </w:r>
      <w:r w:rsidR="00C419B2">
        <w:t>’</w:t>
      </w:r>
      <w:r w:rsidR="00674F6C">
        <w:t>Aspropyrgos.</w:t>
      </w:r>
    </w:p>
    <w:p w:rsidR="00B136CA" w:rsidRDefault="00970717" w:rsidP="00076451">
      <w:pPr>
        <w:pStyle w:val="JuPara"/>
      </w:pPr>
      <w:r>
        <w:fldChar w:fldCharType="begin"/>
      </w:r>
      <w:r>
        <w:instrText xml:space="preserve"> SEQ level0 \*arabic </w:instrText>
      </w:r>
      <w:r>
        <w:fldChar w:fldCharType="separate"/>
      </w:r>
      <w:r w:rsidR="00E555B3">
        <w:rPr>
          <w:noProof/>
        </w:rPr>
        <w:t>87</w:t>
      </w:r>
      <w:r>
        <w:fldChar w:fldCharType="end"/>
      </w:r>
      <w:r>
        <w:t>.  </w:t>
      </w:r>
      <w:r w:rsidR="009E4971">
        <w:t>L</w:t>
      </w:r>
      <w:r w:rsidR="00F54014">
        <w:t xml:space="preserve">a Cour relève que, </w:t>
      </w:r>
      <w:r w:rsidR="00F43259">
        <w:t>lorsque les autorités ont fixé</w:t>
      </w:r>
      <w:r w:rsidR="00A2086A">
        <w:t>,</w:t>
      </w:r>
      <w:r w:rsidR="00A2086A" w:rsidRPr="00A2086A">
        <w:t xml:space="preserve"> </w:t>
      </w:r>
      <w:r w:rsidR="00A2086A">
        <w:t>le 8 avril 2008,</w:t>
      </w:r>
      <w:r w:rsidR="00F43259">
        <w:t xml:space="preserve"> </w:t>
      </w:r>
      <w:r w:rsidR="00D42250">
        <w:t>l</w:t>
      </w:r>
      <w:r w:rsidR="001C3DA3">
        <w:t>es limites de l</w:t>
      </w:r>
      <w:r w:rsidR="00D42250">
        <w:t>a zone de recrutement</w:t>
      </w:r>
      <w:r w:rsidR="00F43259">
        <w:t xml:space="preserve"> de la 12</w:t>
      </w:r>
      <w:r w:rsidR="00F43259" w:rsidRPr="00F43259">
        <w:rPr>
          <w:vertAlign w:val="superscript"/>
        </w:rPr>
        <w:t>e</w:t>
      </w:r>
      <w:r w:rsidR="00F43259">
        <w:t xml:space="preserve"> école</w:t>
      </w:r>
      <w:r w:rsidR="009D4EC9">
        <w:t>,</w:t>
      </w:r>
      <w:r w:rsidR="00B85421">
        <w:t xml:space="preserve"> les 9</w:t>
      </w:r>
      <w:r w:rsidR="00B85421" w:rsidRPr="004B20E2">
        <w:rPr>
          <w:vertAlign w:val="superscript"/>
        </w:rPr>
        <w:t>e</w:t>
      </w:r>
      <w:r w:rsidR="00B85421">
        <w:t>, 10</w:t>
      </w:r>
      <w:r w:rsidR="00B85421" w:rsidRPr="004B20E2">
        <w:rPr>
          <w:vertAlign w:val="superscript"/>
        </w:rPr>
        <w:t>e</w:t>
      </w:r>
      <w:r w:rsidR="00B85421">
        <w:t xml:space="preserve"> et 12</w:t>
      </w:r>
      <w:r w:rsidR="00B85421" w:rsidRPr="004B20E2">
        <w:rPr>
          <w:vertAlign w:val="superscript"/>
        </w:rPr>
        <w:t>e</w:t>
      </w:r>
      <w:r w:rsidR="00B85421">
        <w:t xml:space="preserve"> écoles se sont vu attribuer la même </w:t>
      </w:r>
      <w:r w:rsidR="00D42250">
        <w:t>zone</w:t>
      </w:r>
      <w:r w:rsidR="009D4EC9">
        <w:t>. Toutefois,</w:t>
      </w:r>
      <w:r w:rsidR="00B85421">
        <w:t xml:space="preserve"> </w:t>
      </w:r>
      <w:r w:rsidR="00F43259">
        <w:t>aucun des enfants non</w:t>
      </w:r>
      <w:r w:rsidR="00E1310D">
        <w:t xml:space="preserve"> </w:t>
      </w:r>
      <w:r w:rsidR="00F43259">
        <w:t>roms domiciliés dans ce périmètre n</w:t>
      </w:r>
      <w:r w:rsidR="00C419B2">
        <w:t>’</w:t>
      </w:r>
      <w:r w:rsidR="00F43259">
        <w:t xml:space="preserve">a été inscrit </w:t>
      </w:r>
      <w:r w:rsidR="001C2A67">
        <w:t xml:space="preserve">à </w:t>
      </w:r>
      <w:r w:rsidR="00A2086A">
        <w:t>la 12</w:t>
      </w:r>
      <w:r w:rsidR="00A2086A" w:rsidRPr="00A2086A">
        <w:rPr>
          <w:vertAlign w:val="superscript"/>
        </w:rPr>
        <w:t>e</w:t>
      </w:r>
      <w:r w:rsidR="00A2086A">
        <w:t xml:space="preserve"> </w:t>
      </w:r>
      <w:r w:rsidR="001C2A67">
        <w:t>école</w:t>
      </w:r>
      <w:r w:rsidR="002806D3">
        <w:t>,</w:t>
      </w:r>
      <w:r w:rsidR="001C2A67">
        <w:t xml:space="preserve"> ni pour l</w:t>
      </w:r>
      <w:r w:rsidR="00C419B2">
        <w:t>’</w:t>
      </w:r>
      <w:r w:rsidR="001C2A67">
        <w:t>année scolaire 2008-2009 ni pour l</w:t>
      </w:r>
      <w:r w:rsidR="00C419B2">
        <w:t>’</w:t>
      </w:r>
      <w:r w:rsidR="001C2A67">
        <w:t>année scolaire 2009-2010.</w:t>
      </w:r>
    </w:p>
    <w:p w:rsidR="00E62EFF" w:rsidRDefault="00E62EFF" w:rsidP="00E62EFF">
      <w:pPr>
        <w:pStyle w:val="JuPara"/>
      </w:pPr>
      <w:r>
        <w:fldChar w:fldCharType="begin"/>
      </w:r>
      <w:r>
        <w:instrText xml:space="preserve"> SEQ level0 \*arabic </w:instrText>
      </w:r>
      <w:r>
        <w:fldChar w:fldCharType="separate"/>
      </w:r>
      <w:r w:rsidR="00E555B3">
        <w:rPr>
          <w:noProof/>
        </w:rPr>
        <w:t>88</w:t>
      </w:r>
      <w:r>
        <w:fldChar w:fldCharType="end"/>
      </w:r>
      <w:r>
        <w:t>.  C</w:t>
      </w:r>
      <w:r w:rsidR="00C419B2">
        <w:t>’</w:t>
      </w:r>
      <w:r>
        <w:t>est d</w:t>
      </w:r>
      <w:r w:rsidR="00C419B2">
        <w:t>’</w:t>
      </w:r>
      <w:r>
        <w:t xml:space="preserve">ailleurs le constat auquel est parvenu </w:t>
      </w:r>
      <w:r w:rsidR="00693E39">
        <w:t>le médiateur lui-même</w:t>
      </w:r>
      <w:r w:rsidR="00BC2440">
        <w:t>,</w:t>
      </w:r>
      <w:r w:rsidR="00693E39">
        <w:t xml:space="preserve"> qui s</w:t>
      </w:r>
      <w:r w:rsidR="00C419B2">
        <w:t>’</w:t>
      </w:r>
      <w:r w:rsidR="00693E39">
        <w:t xml:space="preserve">est impliqué </w:t>
      </w:r>
      <w:r w:rsidR="00F54014">
        <w:t xml:space="preserve">activement </w:t>
      </w:r>
      <w:r w:rsidR="00693E39">
        <w:t xml:space="preserve">dans la </w:t>
      </w:r>
      <w:r w:rsidR="0047292F">
        <w:t>recherche d</w:t>
      </w:r>
      <w:r w:rsidR="00C419B2">
        <w:t>’</w:t>
      </w:r>
      <w:r w:rsidR="0047292F">
        <w:t>une solution pour la scolarisation des élèves roms d</w:t>
      </w:r>
      <w:r w:rsidR="00C419B2">
        <w:t>’</w:t>
      </w:r>
      <w:r w:rsidR="0047292F">
        <w:t>Aspropyrgos en multipliant les démarches auprès des autorités</w:t>
      </w:r>
      <w:r w:rsidR="00403536">
        <w:t>. Dans</w:t>
      </w:r>
      <w:r w:rsidR="0047292F">
        <w:t xml:space="preserve"> </w:t>
      </w:r>
      <w:r w:rsidR="00403536">
        <w:t xml:space="preserve">sa lettre du 8 décembre 2008 au préfet, il </w:t>
      </w:r>
      <w:r w:rsidR="0047292F">
        <w:t>qualifiait la 12</w:t>
      </w:r>
      <w:r w:rsidR="0047292F" w:rsidRPr="0047292F">
        <w:rPr>
          <w:vertAlign w:val="superscript"/>
        </w:rPr>
        <w:t>e</w:t>
      </w:r>
      <w:r w:rsidR="0047292F">
        <w:t xml:space="preserve"> école d</w:t>
      </w:r>
      <w:r w:rsidR="00C419B2">
        <w:t>’</w:t>
      </w:r>
      <w:r w:rsidR="0047292F">
        <w:t>« école</w:t>
      </w:r>
      <w:r w:rsidR="00E1310D">
        <w:t xml:space="preserve"> </w:t>
      </w:r>
      <w:r w:rsidR="0047292F">
        <w:t>ghetto »</w:t>
      </w:r>
      <w:r w:rsidR="00BA4446">
        <w:t>,</w:t>
      </w:r>
      <w:r w:rsidR="00BC2440">
        <w:t xml:space="preserve"> </w:t>
      </w:r>
      <w:r w:rsidR="008304F0">
        <w:t>nota</w:t>
      </w:r>
      <w:r w:rsidR="008F0559">
        <w:t>n</w:t>
      </w:r>
      <w:r w:rsidR="008304F0">
        <w:t>t</w:t>
      </w:r>
      <w:r w:rsidR="00BC2440">
        <w:t xml:space="preserve"> </w:t>
      </w:r>
      <w:r w:rsidR="00A93ADD">
        <w:t>que tous les élèves inscrits pour l</w:t>
      </w:r>
      <w:r w:rsidR="00C419B2">
        <w:t>’</w:t>
      </w:r>
      <w:r w:rsidR="00A93ADD">
        <w:t>année 2008-2009 faisai</w:t>
      </w:r>
      <w:r w:rsidR="00A404E8">
        <w:t>ent</w:t>
      </w:r>
      <w:r w:rsidR="00A93ADD">
        <w:t xml:space="preserve"> partie de la communauté rom alors que </w:t>
      </w:r>
      <w:r w:rsidR="003143E6">
        <w:t xml:space="preserve">le </w:t>
      </w:r>
      <w:r w:rsidR="00BC2440">
        <w:t>décret présidentiel n</w:t>
      </w:r>
      <w:r w:rsidR="009202F2" w:rsidRPr="009202F2">
        <w:rPr>
          <w:vertAlign w:val="superscript"/>
        </w:rPr>
        <w:t>o</w:t>
      </w:r>
      <w:r w:rsidR="00BC2440">
        <w:t xml:space="preserve"> 201/1998 disposait que le transfert de tous les élèves résidant dans la </w:t>
      </w:r>
      <w:r w:rsidR="00D42250">
        <w:t>zone de recrutement</w:t>
      </w:r>
      <w:r w:rsidR="00BC2440">
        <w:t xml:space="preserve"> d</w:t>
      </w:r>
      <w:r w:rsidR="00C419B2">
        <w:t>’</w:t>
      </w:r>
      <w:r w:rsidR="00BC2440">
        <w:t>une école à cette école était obligatoire et devait s</w:t>
      </w:r>
      <w:r w:rsidR="00C419B2">
        <w:t>’</w:t>
      </w:r>
      <w:r w:rsidR="00BC2440">
        <w:t xml:space="preserve">effectuer même </w:t>
      </w:r>
      <w:r w:rsidR="00A404E8">
        <w:t>en l</w:t>
      </w:r>
      <w:r w:rsidR="00C419B2">
        <w:t>’</w:t>
      </w:r>
      <w:r w:rsidR="00A404E8">
        <w:t>absence de</w:t>
      </w:r>
      <w:r w:rsidR="00BC2440">
        <w:t xml:space="preserve"> demande des parents. </w:t>
      </w:r>
      <w:r w:rsidR="008304F0">
        <w:t xml:space="preserve">Il </w:t>
      </w:r>
      <w:r w:rsidR="008F0559">
        <w:t>ajoutait que l</w:t>
      </w:r>
      <w:r w:rsidR="000D4656">
        <w:t>e</w:t>
      </w:r>
      <w:r w:rsidR="001C394C">
        <w:t xml:space="preserve"> </w:t>
      </w:r>
      <w:r w:rsidR="000D4656">
        <w:t>refus d</w:t>
      </w:r>
      <w:r w:rsidR="00C419B2">
        <w:t>’</w:t>
      </w:r>
      <w:r w:rsidR="000D4656">
        <w:t xml:space="preserve">autoriser </w:t>
      </w:r>
      <w:r w:rsidR="004B3C85">
        <w:t xml:space="preserve">la fusion des </w:t>
      </w:r>
      <w:r w:rsidR="000D4656">
        <w:t>12</w:t>
      </w:r>
      <w:r w:rsidR="000D4656" w:rsidRPr="0014741C">
        <w:rPr>
          <w:vertAlign w:val="superscript"/>
        </w:rPr>
        <w:t>e</w:t>
      </w:r>
      <w:r w:rsidR="000D4656">
        <w:t> </w:t>
      </w:r>
      <w:r w:rsidR="004B3C85">
        <w:t xml:space="preserve"> et 11</w:t>
      </w:r>
      <w:r w:rsidR="004B3C85" w:rsidRPr="004B3C85">
        <w:rPr>
          <w:vertAlign w:val="superscript"/>
        </w:rPr>
        <w:t>e</w:t>
      </w:r>
      <w:r w:rsidR="004B3C85">
        <w:t xml:space="preserve"> </w:t>
      </w:r>
      <w:r w:rsidR="000D4656">
        <w:t>école</w:t>
      </w:r>
      <w:r w:rsidR="004B3C85">
        <w:t>s</w:t>
      </w:r>
      <w:r w:rsidR="000D4656">
        <w:t xml:space="preserve"> constitu</w:t>
      </w:r>
      <w:r w:rsidR="008F0559">
        <w:t>ait</w:t>
      </w:r>
      <w:r w:rsidR="000D4656">
        <w:t xml:space="preserve"> une discrimination injustifiée à l</w:t>
      </w:r>
      <w:r w:rsidR="00C419B2">
        <w:t>’</w:t>
      </w:r>
      <w:r w:rsidR="000D4656">
        <w:t>égard des</w:t>
      </w:r>
      <w:r w:rsidR="002A125D">
        <w:t xml:space="preserve"> élèves rom</w:t>
      </w:r>
      <w:r w:rsidR="00A404E8">
        <w:t>s</w:t>
      </w:r>
      <w:r w:rsidR="002A125D">
        <w:t xml:space="preserve"> </w:t>
      </w:r>
      <w:r w:rsidR="007E19BF">
        <w:t>en ce qu</w:t>
      </w:r>
      <w:r w:rsidR="00C419B2">
        <w:t>’</w:t>
      </w:r>
      <w:r w:rsidR="002A125D">
        <w:t xml:space="preserve">il les </w:t>
      </w:r>
      <w:r w:rsidR="007E19BF">
        <w:t xml:space="preserve">aurait </w:t>
      </w:r>
      <w:r w:rsidR="002A125D">
        <w:t>empêch</w:t>
      </w:r>
      <w:r w:rsidR="007E19BF">
        <w:t>és</w:t>
      </w:r>
      <w:r w:rsidR="000D4656">
        <w:t xml:space="preserve"> de se fondre dans l</w:t>
      </w:r>
      <w:r w:rsidR="00C419B2">
        <w:t>’</w:t>
      </w:r>
      <w:r w:rsidR="000D4656">
        <w:t>environnement culturel de la région.</w:t>
      </w:r>
      <w:r>
        <w:t xml:space="preserve"> Le médiateur faisait ici référence au fait que le 17 octobre 2008, le préfet de l</w:t>
      </w:r>
      <w:r w:rsidR="00C419B2">
        <w:t>’</w:t>
      </w:r>
      <w:r>
        <w:t>Attique de l</w:t>
      </w:r>
      <w:r w:rsidR="00C419B2">
        <w:t>’</w:t>
      </w:r>
      <w:r>
        <w:t>Ouest a refusé de donner son autorisation pour la fusion des 12</w:t>
      </w:r>
      <w:r w:rsidRPr="0012700B">
        <w:rPr>
          <w:vertAlign w:val="superscript"/>
        </w:rPr>
        <w:t>e</w:t>
      </w:r>
      <w:r>
        <w:t xml:space="preserve"> et 11</w:t>
      </w:r>
      <w:r w:rsidRPr="00AC38FE">
        <w:rPr>
          <w:vertAlign w:val="superscript"/>
        </w:rPr>
        <w:t>e</w:t>
      </w:r>
      <w:r>
        <w:t xml:space="preserve"> écoles au motif qu</w:t>
      </w:r>
      <w:r w:rsidR="00C419B2">
        <w:t>’</w:t>
      </w:r>
      <w:r>
        <w:t>il souhaitait éviter de</w:t>
      </w:r>
      <w:r w:rsidR="009D4EC9">
        <w:t>s</w:t>
      </w:r>
      <w:r>
        <w:t xml:space="preserve"> problèmes d</w:t>
      </w:r>
      <w:r w:rsidR="00C419B2">
        <w:t>’</w:t>
      </w:r>
      <w:r>
        <w:t>ordre social, culturel et éducatif.</w:t>
      </w:r>
    </w:p>
    <w:p w:rsidR="00F56FC5" w:rsidRPr="000B2EE7" w:rsidRDefault="00970717" w:rsidP="00076451">
      <w:pPr>
        <w:pStyle w:val="JuPara"/>
      </w:pPr>
      <w:r>
        <w:fldChar w:fldCharType="begin"/>
      </w:r>
      <w:r>
        <w:instrText xml:space="preserve"> SEQ level0 \*arabic </w:instrText>
      </w:r>
      <w:r>
        <w:fldChar w:fldCharType="separate"/>
      </w:r>
      <w:r w:rsidR="00E555B3">
        <w:rPr>
          <w:noProof/>
        </w:rPr>
        <w:t>89</w:t>
      </w:r>
      <w:r>
        <w:fldChar w:fldCharType="end"/>
      </w:r>
      <w:r>
        <w:t>.  </w:t>
      </w:r>
      <w:r w:rsidR="00981A85">
        <w:t xml:space="preserve">La Cour </w:t>
      </w:r>
      <w:r w:rsidR="00A404E8">
        <w:t>relève</w:t>
      </w:r>
      <w:r w:rsidR="00981A85">
        <w:t xml:space="preserve"> donc </w:t>
      </w:r>
      <w:r w:rsidR="00A404E8">
        <w:t>qu</w:t>
      </w:r>
      <w:r w:rsidR="00C419B2">
        <w:t>’</w:t>
      </w:r>
      <w:r w:rsidR="00A404E8">
        <w:t>il n</w:t>
      </w:r>
      <w:r w:rsidR="00C419B2">
        <w:t>’</w:t>
      </w:r>
      <w:r w:rsidR="00A404E8">
        <w:t xml:space="preserve">y a eu </w:t>
      </w:r>
      <w:r w:rsidR="00981A85">
        <w:t>a</w:t>
      </w:r>
      <w:r w:rsidR="00CD070B">
        <w:t xml:space="preserve">ucun </w:t>
      </w:r>
      <w:r w:rsidR="007E19BF">
        <w:t>changement</w:t>
      </w:r>
      <w:r w:rsidR="00CD070B">
        <w:t xml:space="preserve"> notable dans les</w:t>
      </w:r>
      <w:r w:rsidR="00981A85">
        <w:t xml:space="preserve"> </w:t>
      </w:r>
      <w:r w:rsidR="00CD070B">
        <w:t>faits à l</w:t>
      </w:r>
      <w:r w:rsidR="00C419B2">
        <w:t>’</w:t>
      </w:r>
      <w:r w:rsidR="00CD070B">
        <w:t>origine de</w:t>
      </w:r>
      <w:r w:rsidR="00981A85">
        <w:t xml:space="preserve"> l</w:t>
      </w:r>
      <w:r w:rsidR="00C419B2">
        <w:t>’</w:t>
      </w:r>
      <w:r w:rsidR="00981A85">
        <w:t xml:space="preserve">arrêt </w:t>
      </w:r>
      <w:r w:rsidR="00981A85" w:rsidRPr="00981A85">
        <w:rPr>
          <w:i/>
        </w:rPr>
        <w:t>Sampanis</w:t>
      </w:r>
      <w:r w:rsidR="00981A85">
        <w:rPr>
          <w:i/>
        </w:rPr>
        <w:t xml:space="preserve"> et autres</w:t>
      </w:r>
      <w:r w:rsidR="007E19BF">
        <w:t>,</w:t>
      </w:r>
      <w:r w:rsidR="00981A85">
        <w:t xml:space="preserve"> si ce n</w:t>
      </w:r>
      <w:r w:rsidR="00C419B2">
        <w:t>’</w:t>
      </w:r>
      <w:r w:rsidR="00981A85">
        <w:t>est la volonté affiché</w:t>
      </w:r>
      <w:r w:rsidR="00706D2C">
        <w:t>e du ministère de l</w:t>
      </w:r>
      <w:r w:rsidR="00C419B2">
        <w:t>’</w:t>
      </w:r>
      <w:r w:rsidR="00706D2C">
        <w:t>Education d</w:t>
      </w:r>
      <w:r w:rsidR="00C419B2">
        <w:t>’</w:t>
      </w:r>
      <w:r w:rsidR="00706D2C">
        <w:t xml:space="preserve">intégrer les élèves roms dans le système éducatif </w:t>
      </w:r>
      <w:r w:rsidR="00356661">
        <w:t>ordinaire</w:t>
      </w:r>
      <w:r w:rsidR="00A404E8">
        <w:t>, manifestée par la</w:t>
      </w:r>
      <w:r w:rsidR="00706D2C">
        <w:t xml:space="preserve"> créa</w:t>
      </w:r>
      <w:r w:rsidR="00A404E8">
        <w:t>tion de</w:t>
      </w:r>
      <w:r w:rsidR="00706D2C">
        <w:t xml:space="preserve"> la 12</w:t>
      </w:r>
      <w:r w:rsidR="00706D2C" w:rsidRPr="00706D2C">
        <w:rPr>
          <w:vertAlign w:val="superscript"/>
        </w:rPr>
        <w:t>e</w:t>
      </w:r>
      <w:r w:rsidR="00706D2C">
        <w:t xml:space="preserve"> école,</w:t>
      </w:r>
      <w:r w:rsidR="00981A85">
        <w:t xml:space="preserve"> </w:t>
      </w:r>
      <w:r w:rsidR="00A404E8" w:rsidRPr="000B2EE7">
        <w:t>laquelle,</w:t>
      </w:r>
      <w:r w:rsidR="00981A85" w:rsidRPr="000B2EE7">
        <w:t xml:space="preserve"> pour diverses raisons </w:t>
      </w:r>
      <w:r w:rsidR="0058543F" w:rsidRPr="000B2EE7">
        <w:t>relevant de la politi</w:t>
      </w:r>
      <w:r w:rsidR="00F053AF" w:rsidRPr="000B2EE7">
        <w:t>que des autorités municipales et</w:t>
      </w:r>
      <w:r w:rsidR="0058543F" w:rsidRPr="000B2EE7">
        <w:t xml:space="preserve"> préfectorales</w:t>
      </w:r>
      <w:r w:rsidR="00A404E8" w:rsidRPr="000B2EE7">
        <w:t>,</w:t>
      </w:r>
      <w:r w:rsidR="0058543F" w:rsidRPr="000B2EE7">
        <w:t xml:space="preserve"> n</w:t>
      </w:r>
      <w:r w:rsidR="00C419B2">
        <w:t>’</w:t>
      </w:r>
      <w:r w:rsidR="0058543F" w:rsidRPr="000B2EE7">
        <w:t xml:space="preserve">a </w:t>
      </w:r>
      <w:r w:rsidR="00F053AF" w:rsidRPr="000B2EE7">
        <w:t xml:space="preserve">pas </w:t>
      </w:r>
      <w:r w:rsidR="0058543F" w:rsidRPr="000B2EE7">
        <w:t>pu fonctionner</w:t>
      </w:r>
      <w:r w:rsidR="00E77715" w:rsidRPr="000B2EE7">
        <w:t xml:space="preserve"> comme prévu, </w:t>
      </w:r>
      <w:r w:rsidR="000B2EE7" w:rsidRPr="000B2EE7">
        <w:t>ce qui a eu pour effet de faire perdurer</w:t>
      </w:r>
      <w:r w:rsidR="00F053AF" w:rsidRPr="000B2EE7">
        <w:t xml:space="preserve"> une différence de traitement à l</w:t>
      </w:r>
      <w:r w:rsidR="00C419B2">
        <w:t>’</w:t>
      </w:r>
      <w:r w:rsidR="00F053AF" w:rsidRPr="000B2EE7">
        <w:t>égard de la communauté rom de l</w:t>
      </w:r>
      <w:r w:rsidR="00C419B2">
        <w:t>’</w:t>
      </w:r>
      <w:r w:rsidR="00F053AF" w:rsidRPr="000B2EE7">
        <w:t>aire de Psari.</w:t>
      </w:r>
      <w:r w:rsidR="008F0559">
        <w:t xml:space="preserve"> Il existe donc un commencement de preuve d</w:t>
      </w:r>
      <w:r w:rsidR="00C419B2">
        <w:t>’</w:t>
      </w:r>
      <w:r w:rsidR="008F0559">
        <w:t>une pratique de discrimination.</w:t>
      </w:r>
    </w:p>
    <w:p w:rsidR="00880EF6" w:rsidRDefault="00880EF6" w:rsidP="00880EF6">
      <w:pPr>
        <w:pStyle w:val="JuHi"/>
      </w:pPr>
      <w:r w:rsidRPr="000B2EE7">
        <w:t>ii</w:t>
      </w:r>
      <w:r w:rsidR="00B4617B" w:rsidRPr="000B2EE7">
        <w:t>.</w:t>
      </w:r>
      <w:r w:rsidRPr="000B2EE7">
        <w:t>  Sur le point de savoir si la différence de traitement avait une justification objective et raisonnable</w:t>
      </w:r>
    </w:p>
    <w:p w:rsidR="00AA3CC6" w:rsidRDefault="00970717" w:rsidP="00076451">
      <w:pPr>
        <w:pStyle w:val="JuPara"/>
        <w:rPr>
          <w:rStyle w:val="sb8d990e2"/>
        </w:rPr>
      </w:pPr>
      <w:r>
        <w:fldChar w:fldCharType="begin"/>
      </w:r>
      <w:r>
        <w:instrText xml:space="preserve"> SEQ level0 \*arabic </w:instrText>
      </w:r>
      <w:r>
        <w:fldChar w:fldCharType="separate"/>
      </w:r>
      <w:r w:rsidR="00E555B3">
        <w:rPr>
          <w:noProof/>
        </w:rPr>
        <w:t>90</w:t>
      </w:r>
      <w:r>
        <w:fldChar w:fldCharType="end"/>
      </w:r>
      <w:r>
        <w:t>.  </w:t>
      </w:r>
      <w:r w:rsidR="00F117A6">
        <w:rPr>
          <w:rStyle w:val="sb8d990e2"/>
        </w:rPr>
        <w:t>Selon la jurisprudence de la Cour, une différence de traitement est discriminatoire si elle « manque de justification objective et raisonnable », c</w:t>
      </w:r>
      <w:r w:rsidR="00C419B2">
        <w:rPr>
          <w:rStyle w:val="sb8d990e2"/>
        </w:rPr>
        <w:t>’</w:t>
      </w:r>
      <w:r w:rsidR="00F117A6">
        <w:rPr>
          <w:rStyle w:val="sb8d990e2"/>
        </w:rPr>
        <w:t>est-à-dire si elle ne poursuit pas un « but légitime » ou s</w:t>
      </w:r>
      <w:r w:rsidR="00C419B2">
        <w:rPr>
          <w:rStyle w:val="sb8d990e2"/>
        </w:rPr>
        <w:t>’</w:t>
      </w:r>
      <w:r w:rsidR="00F117A6">
        <w:rPr>
          <w:rStyle w:val="sb8d990e2"/>
        </w:rPr>
        <w:t>il n</w:t>
      </w:r>
      <w:r w:rsidR="00C419B2">
        <w:rPr>
          <w:rStyle w:val="sb8d990e2"/>
        </w:rPr>
        <w:t>’</w:t>
      </w:r>
      <w:r w:rsidR="00F117A6">
        <w:rPr>
          <w:rStyle w:val="sb8d990e2"/>
        </w:rPr>
        <w:t>existe pas de « rapport raisonnable de proportionnalité » entre les moyens employés et le but visé (voir, parmi beaucoup d</w:t>
      </w:r>
      <w:r w:rsidR="00C419B2">
        <w:rPr>
          <w:rStyle w:val="sb8d990e2"/>
        </w:rPr>
        <w:t>’</w:t>
      </w:r>
      <w:r w:rsidR="00F117A6">
        <w:rPr>
          <w:rStyle w:val="sb8d990e2"/>
        </w:rPr>
        <w:t xml:space="preserve">autres, </w:t>
      </w:r>
      <w:r w:rsidR="00F117A6" w:rsidRPr="00F117A6">
        <w:rPr>
          <w:rStyle w:val="s6b621b36"/>
          <w:i/>
        </w:rPr>
        <w:t>Larkos c. Chypre</w:t>
      </w:r>
      <w:r w:rsidR="00F117A6">
        <w:rPr>
          <w:rStyle w:val="sb8d990e2"/>
        </w:rPr>
        <w:t xml:space="preserve"> [GC], n</w:t>
      </w:r>
      <w:r w:rsidR="00F117A6" w:rsidRPr="00A404E8">
        <w:rPr>
          <w:rStyle w:val="sea881cdf"/>
          <w:vertAlign w:val="superscript"/>
        </w:rPr>
        <w:t>o</w:t>
      </w:r>
      <w:r w:rsidR="00F117A6">
        <w:rPr>
          <w:rStyle w:val="sb8d990e2"/>
        </w:rPr>
        <w:t> 29515/95, § 29, CEDH 1999-I</w:t>
      </w:r>
      <w:r w:rsidR="00A404E8">
        <w:rPr>
          <w:rStyle w:val="sb8d990e2"/>
        </w:rPr>
        <w:t>,</w:t>
      </w:r>
      <w:r w:rsidR="00F117A6">
        <w:rPr>
          <w:rStyle w:val="sb8d990e2"/>
        </w:rPr>
        <w:t xml:space="preserve"> et </w:t>
      </w:r>
      <w:r w:rsidR="00F117A6" w:rsidRPr="00F117A6">
        <w:rPr>
          <w:rStyle w:val="s6b621b36"/>
          <w:i/>
        </w:rPr>
        <w:t>D.H. et autres c. République tchèque</w:t>
      </w:r>
      <w:r w:rsidR="00F117A6">
        <w:rPr>
          <w:rStyle w:val="sb8d990e2"/>
        </w:rPr>
        <w:t>, précité, § 196).</w:t>
      </w:r>
      <w:r w:rsidR="00F117A6">
        <w:rPr>
          <w:rStyle w:val="s6b621b36"/>
        </w:rPr>
        <w:t xml:space="preserve"> </w:t>
      </w:r>
      <w:r w:rsidR="00F117A6">
        <w:rPr>
          <w:rStyle w:val="sb8d990e2"/>
        </w:rPr>
        <w:t>En cas de différence de traitement fondée sur la race, la couleur ou l</w:t>
      </w:r>
      <w:r w:rsidR="00C419B2">
        <w:rPr>
          <w:rStyle w:val="sb8d990e2"/>
        </w:rPr>
        <w:t>’</w:t>
      </w:r>
      <w:r w:rsidR="00F117A6">
        <w:rPr>
          <w:rStyle w:val="sb8d990e2"/>
        </w:rPr>
        <w:t xml:space="preserve">origine ethnique, la notion de justification objective et raisonnable doit être interprétée de manière aussi stricte que possible </w:t>
      </w:r>
      <w:r w:rsidR="00F117A6" w:rsidRPr="000341E3">
        <w:rPr>
          <w:rStyle w:val="sb8d990e2"/>
        </w:rPr>
        <w:t>(</w:t>
      </w:r>
      <w:r w:rsidR="00F117A6" w:rsidRPr="00F117A6">
        <w:rPr>
          <w:rStyle w:val="s6b621b36"/>
          <w:i/>
        </w:rPr>
        <w:t>Sampanis et autres</w:t>
      </w:r>
      <w:r w:rsidR="00F117A6">
        <w:rPr>
          <w:rStyle w:val="sb8d990e2"/>
        </w:rPr>
        <w:t xml:space="preserve">, précité, § </w:t>
      </w:r>
      <w:r w:rsidR="009D4EC9">
        <w:rPr>
          <w:rStyle w:val="sb8d990e2"/>
        </w:rPr>
        <w:t>84</w:t>
      </w:r>
      <w:r w:rsidR="00F117A6">
        <w:rPr>
          <w:rStyle w:val="sb8d990e2"/>
        </w:rPr>
        <w:t>).</w:t>
      </w:r>
    </w:p>
    <w:p w:rsidR="003C7197" w:rsidRPr="00B51856" w:rsidRDefault="00401245" w:rsidP="009F4116">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91</w:t>
      </w:r>
      <w:r>
        <w:rPr>
          <w:rStyle w:val="sb8d990e2"/>
        </w:rPr>
        <w:fldChar w:fldCharType="end"/>
      </w:r>
      <w:r>
        <w:rPr>
          <w:rStyle w:val="sb8d990e2"/>
        </w:rPr>
        <w:t>.  </w:t>
      </w:r>
      <w:r w:rsidR="003C7197" w:rsidRPr="00651A52">
        <w:rPr>
          <w:rStyle w:val="sb8d990e2"/>
        </w:rPr>
        <w:t>La scolarisation des enfants roms dans des conditions satisfaisantes soulève de grandes difficultés dans un certain nombre d</w:t>
      </w:r>
      <w:r w:rsidR="00C419B2">
        <w:rPr>
          <w:rStyle w:val="sb8d990e2"/>
        </w:rPr>
        <w:t>’</w:t>
      </w:r>
      <w:r w:rsidR="003C7197" w:rsidRPr="00651A52">
        <w:rPr>
          <w:rStyle w:val="sb8d990e2"/>
        </w:rPr>
        <w:t>Etats européens. Toutefois, dans leurs efforts pour parvenir à l</w:t>
      </w:r>
      <w:r w:rsidR="00C419B2">
        <w:rPr>
          <w:rStyle w:val="sb8d990e2"/>
        </w:rPr>
        <w:t>’</w:t>
      </w:r>
      <w:r w:rsidR="003C7197" w:rsidRPr="00651A52">
        <w:rPr>
          <w:rStyle w:val="sb8d990e2"/>
        </w:rPr>
        <w:t xml:space="preserve">intégration sociale et éducative du groupe défavorisé que forment les Roms, les autorités nationales se </w:t>
      </w:r>
      <w:r w:rsidR="003C7197">
        <w:rPr>
          <w:rStyle w:val="sb8d990e2"/>
        </w:rPr>
        <w:t>heurtent</w:t>
      </w:r>
      <w:r w:rsidR="003C7197" w:rsidRPr="00651A52">
        <w:rPr>
          <w:rStyle w:val="sb8d990e2"/>
        </w:rPr>
        <w:t xml:space="preserve"> à de nombreuses difficultés tenant notamment aux particularités culturelles de cette minorité et à une certaine hostilité manifestée par les parents d</w:t>
      </w:r>
      <w:r w:rsidR="00C419B2">
        <w:rPr>
          <w:rStyle w:val="sb8d990e2"/>
        </w:rPr>
        <w:t>’</w:t>
      </w:r>
      <w:r w:rsidR="003C7197" w:rsidRPr="00651A52">
        <w:rPr>
          <w:rStyle w:val="sb8d990e2"/>
        </w:rPr>
        <w:t>enfants non roms</w:t>
      </w:r>
      <w:r w:rsidR="003C7197" w:rsidRPr="00651A52">
        <w:rPr>
          <w:rStyle w:val="s7d2086b4"/>
          <w:i/>
        </w:rPr>
        <w:t xml:space="preserve"> </w:t>
      </w:r>
      <w:r w:rsidR="003C7197" w:rsidRPr="001D37E0">
        <w:rPr>
          <w:rStyle w:val="s7d2086b4"/>
        </w:rPr>
        <w:t>(</w:t>
      </w:r>
      <w:r w:rsidR="003C7197" w:rsidRPr="00651A52">
        <w:rPr>
          <w:rStyle w:val="s7d2086b4"/>
        </w:rPr>
        <w:t>voir</w:t>
      </w:r>
      <w:r w:rsidR="003C7197">
        <w:rPr>
          <w:rStyle w:val="s7d2086b4"/>
          <w:i/>
        </w:rPr>
        <w:t xml:space="preserve"> </w:t>
      </w:r>
      <w:r w:rsidR="003C7197" w:rsidRPr="00651A52">
        <w:rPr>
          <w:rStyle w:val="s7d2086b4"/>
          <w:i/>
        </w:rPr>
        <w:t xml:space="preserve">Oršuš et autres </w:t>
      </w:r>
      <w:r w:rsidR="003C7197" w:rsidRPr="00651A52">
        <w:rPr>
          <w:rStyle w:val="s7d2086b4"/>
        </w:rPr>
        <w:t>précité, § </w:t>
      </w:r>
      <w:r w:rsidR="003C7197">
        <w:rPr>
          <w:rStyle w:val="s7d2086b4"/>
        </w:rPr>
        <w:t xml:space="preserve">180). </w:t>
      </w:r>
      <w:r w:rsidR="003C7197">
        <w:rPr>
          <w:rStyle w:val="sb8d990e2"/>
        </w:rPr>
        <w:t>I</w:t>
      </w:r>
      <w:r w:rsidR="003C7197" w:rsidRPr="00651A52">
        <w:rPr>
          <w:rStyle w:val="sb8d990e2"/>
        </w:rPr>
        <w:t>l n</w:t>
      </w:r>
      <w:r w:rsidR="00C419B2">
        <w:rPr>
          <w:rStyle w:val="sb8d990e2"/>
        </w:rPr>
        <w:t>’</w:t>
      </w:r>
      <w:r w:rsidR="003C7197" w:rsidRPr="00651A52">
        <w:rPr>
          <w:rStyle w:val="sb8d990e2"/>
        </w:rPr>
        <w:t>est pas facile de choisir le meilleur moyen de résoudre les difficultés d</w:t>
      </w:r>
      <w:r w:rsidR="00C419B2">
        <w:rPr>
          <w:rStyle w:val="sb8d990e2"/>
        </w:rPr>
        <w:t>’</w:t>
      </w:r>
      <w:r w:rsidR="003C7197" w:rsidRPr="00651A52">
        <w:rPr>
          <w:rStyle w:val="sb8d990e2"/>
        </w:rPr>
        <w:t>apprentissage d</w:t>
      </w:r>
      <w:r w:rsidR="00C419B2">
        <w:rPr>
          <w:rStyle w:val="sb8d990e2"/>
        </w:rPr>
        <w:t>’</w:t>
      </w:r>
      <w:r w:rsidR="003C7197" w:rsidRPr="00651A52">
        <w:rPr>
          <w:rStyle w:val="sb8d990e2"/>
        </w:rPr>
        <w:t>enfants n</w:t>
      </w:r>
      <w:r w:rsidR="00C419B2">
        <w:rPr>
          <w:rStyle w:val="sb8d990e2"/>
        </w:rPr>
        <w:t>’</w:t>
      </w:r>
      <w:r w:rsidR="003C7197" w:rsidRPr="00651A52">
        <w:rPr>
          <w:rStyle w:val="sb8d990e2"/>
        </w:rPr>
        <w:t>ayant pas une connaissance suffisante de la langue dans laquelle l</w:t>
      </w:r>
      <w:r w:rsidR="00C419B2">
        <w:rPr>
          <w:rStyle w:val="sb8d990e2"/>
        </w:rPr>
        <w:t>’</w:t>
      </w:r>
      <w:r w:rsidR="003C7197" w:rsidRPr="00651A52">
        <w:rPr>
          <w:rStyle w:val="sb8d990e2"/>
        </w:rPr>
        <w:t xml:space="preserve">enseignement est dispensé. Cela implique de procéder à un exercice difficile de mise en balance des divers intérêts en jeu. </w:t>
      </w:r>
      <w:r w:rsidR="003C7197" w:rsidRPr="00B51856">
        <w:rPr>
          <w:rStyle w:val="sb8d990e2"/>
        </w:rPr>
        <w:t>Pour ce qui est de la définition et de l</w:t>
      </w:r>
      <w:r w:rsidR="00C419B2">
        <w:rPr>
          <w:rStyle w:val="sb8d990e2"/>
        </w:rPr>
        <w:t>’</w:t>
      </w:r>
      <w:r w:rsidR="003C7197" w:rsidRPr="00B51856">
        <w:rPr>
          <w:rStyle w:val="sb8d990e2"/>
        </w:rPr>
        <w:t>aménagement du programme des études, il s</w:t>
      </w:r>
      <w:r w:rsidR="00C419B2">
        <w:rPr>
          <w:rStyle w:val="sb8d990e2"/>
        </w:rPr>
        <w:t>’</w:t>
      </w:r>
      <w:r w:rsidR="003C7197" w:rsidRPr="00B51856">
        <w:rPr>
          <w:rStyle w:val="sb8d990e2"/>
        </w:rPr>
        <w:t>agit, dans une large mesure, d</w:t>
      </w:r>
      <w:r w:rsidR="00C419B2">
        <w:rPr>
          <w:rStyle w:val="sb8d990e2"/>
        </w:rPr>
        <w:t>’</w:t>
      </w:r>
      <w:r w:rsidR="003C7197" w:rsidRPr="00B51856">
        <w:rPr>
          <w:rStyle w:val="sb8d990e2"/>
        </w:rPr>
        <w:t>un problème d</w:t>
      </w:r>
      <w:r w:rsidR="00C419B2">
        <w:rPr>
          <w:rStyle w:val="sb8d990e2"/>
        </w:rPr>
        <w:t>’</w:t>
      </w:r>
      <w:r w:rsidR="003C7197" w:rsidRPr="00B51856">
        <w:rPr>
          <w:rStyle w:val="sb8d990e2"/>
        </w:rPr>
        <w:t>opportunité sur lequel la Cour n</w:t>
      </w:r>
      <w:r w:rsidR="00C419B2">
        <w:rPr>
          <w:rStyle w:val="sb8d990e2"/>
        </w:rPr>
        <w:t>’</w:t>
      </w:r>
      <w:r w:rsidR="003C7197" w:rsidRPr="00B51856">
        <w:rPr>
          <w:rStyle w:val="sb8d990e2"/>
        </w:rPr>
        <w:t>a pas à se prononcer (</w:t>
      </w:r>
      <w:r w:rsidR="003C7197" w:rsidRPr="00B51856">
        <w:rPr>
          <w:rStyle w:val="s6b621b36"/>
          <w:i/>
        </w:rPr>
        <w:t>D.H. et autres</w:t>
      </w:r>
      <w:r w:rsidR="003C7197" w:rsidRPr="00B51856">
        <w:rPr>
          <w:rStyle w:val="sb8d990e2"/>
        </w:rPr>
        <w:t xml:space="preserve">, précité, § 205, et </w:t>
      </w:r>
      <w:r w:rsidR="003C7197" w:rsidRPr="00B51856">
        <w:rPr>
          <w:rStyle w:val="s6b621b36"/>
          <w:i/>
        </w:rPr>
        <w:t>Valsamis c. Grèce</w:t>
      </w:r>
      <w:r w:rsidR="003C7197" w:rsidRPr="00B51856">
        <w:rPr>
          <w:rStyle w:val="sb8d990e2"/>
        </w:rPr>
        <w:t xml:space="preserve">, 18 décembre 1996, § 28, </w:t>
      </w:r>
      <w:r w:rsidR="003C7197" w:rsidRPr="00B51856">
        <w:rPr>
          <w:rStyle w:val="s6b621b36"/>
          <w:i/>
        </w:rPr>
        <w:t>Recueil</w:t>
      </w:r>
      <w:r w:rsidR="003C7197" w:rsidRPr="00B51856">
        <w:rPr>
          <w:rStyle w:val="s6b621b36"/>
        </w:rPr>
        <w:t xml:space="preserve"> </w:t>
      </w:r>
      <w:r w:rsidR="003C7197" w:rsidRPr="00B51856">
        <w:rPr>
          <w:rStyle w:val="s6b621b36"/>
          <w:i/>
        </w:rPr>
        <w:t>des arrêts et décisions</w:t>
      </w:r>
      <w:r w:rsidR="003C7197" w:rsidRPr="00B51856">
        <w:rPr>
          <w:rStyle w:val="s6b621b36"/>
        </w:rPr>
        <w:t xml:space="preserve"> </w:t>
      </w:r>
      <w:r w:rsidR="003C7197" w:rsidRPr="00B51856">
        <w:rPr>
          <w:rStyle w:val="sb8d990e2"/>
        </w:rPr>
        <w:t>1996</w:t>
      </w:r>
      <w:r w:rsidR="003C7197" w:rsidRPr="00B51856">
        <w:rPr>
          <w:rStyle w:val="sb8d990e2"/>
        </w:rPr>
        <w:noBreakHyphen/>
        <w:t>VI).</w:t>
      </w:r>
    </w:p>
    <w:p w:rsidR="001163EF" w:rsidRDefault="00401245"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92</w:t>
      </w:r>
      <w:r>
        <w:rPr>
          <w:rStyle w:val="sb8d990e2"/>
        </w:rPr>
        <w:fldChar w:fldCharType="end"/>
      </w:r>
      <w:r>
        <w:rPr>
          <w:rStyle w:val="sb8d990e2"/>
        </w:rPr>
        <w:t>.  </w:t>
      </w:r>
      <w:r w:rsidR="003C7197">
        <w:rPr>
          <w:rStyle w:val="s7d2086b4"/>
        </w:rPr>
        <w:t>Malgré les particularités et différences factuelles que peut présenter chaque affaire, ces considérations valent aussi en l</w:t>
      </w:r>
      <w:r w:rsidR="00C419B2">
        <w:rPr>
          <w:rStyle w:val="s7d2086b4"/>
        </w:rPr>
        <w:t>’</w:t>
      </w:r>
      <w:r w:rsidR="003C7197">
        <w:rPr>
          <w:rStyle w:val="s7d2086b4"/>
        </w:rPr>
        <w:t>espèce.</w:t>
      </w:r>
    </w:p>
    <w:p w:rsidR="001912EE" w:rsidRDefault="00401245" w:rsidP="00FA0CA5">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93</w:t>
      </w:r>
      <w:r>
        <w:rPr>
          <w:rStyle w:val="sb8d990e2"/>
        </w:rPr>
        <w:fldChar w:fldCharType="end"/>
      </w:r>
      <w:r>
        <w:rPr>
          <w:rStyle w:val="sb8d990e2"/>
        </w:rPr>
        <w:t>.  </w:t>
      </w:r>
      <w:r w:rsidR="000C0479">
        <w:rPr>
          <w:rStyle w:val="sb8d990e2"/>
        </w:rPr>
        <w:t>En premier lieu, la Cour note que la 12</w:t>
      </w:r>
      <w:r w:rsidR="000C0479" w:rsidRPr="000C0479">
        <w:rPr>
          <w:rStyle w:val="sb8d990e2"/>
          <w:vertAlign w:val="superscript"/>
        </w:rPr>
        <w:t>e</w:t>
      </w:r>
      <w:r w:rsidR="000C0479">
        <w:rPr>
          <w:rStyle w:val="sb8d990e2"/>
        </w:rPr>
        <w:t xml:space="preserve"> école d</w:t>
      </w:r>
      <w:r w:rsidR="00C419B2">
        <w:rPr>
          <w:rStyle w:val="sb8d990e2"/>
        </w:rPr>
        <w:t>’</w:t>
      </w:r>
      <w:r w:rsidR="000C0479">
        <w:rPr>
          <w:rStyle w:val="sb8d990e2"/>
        </w:rPr>
        <w:t>Aspropyrgos</w:t>
      </w:r>
      <w:r w:rsidR="00085EC3">
        <w:rPr>
          <w:rStyle w:val="sb8d990e2"/>
        </w:rPr>
        <w:t>,</w:t>
      </w:r>
      <w:r w:rsidR="000C0479">
        <w:rPr>
          <w:rStyle w:val="sb8d990e2"/>
        </w:rPr>
        <w:t xml:space="preserve"> créée en janvier 2008 sur les prémices de la 10</w:t>
      </w:r>
      <w:r w:rsidR="000C0479" w:rsidRPr="000C0479">
        <w:rPr>
          <w:rStyle w:val="sb8d990e2"/>
          <w:vertAlign w:val="superscript"/>
        </w:rPr>
        <w:t>e</w:t>
      </w:r>
      <w:r w:rsidR="000C0479">
        <w:rPr>
          <w:rStyle w:val="sb8d990e2"/>
        </w:rPr>
        <w:t xml:space="preserve"> école où fonctionnaient auparavant les classes préparatoires fréquentées exclusivement par des </w:t>
      </w:r>
      <w:r w:rsidR="00085EC3">
        <w:rPr>
          <w:rStyle w:val="sb8d990e2"/>
        </w:rPr>
        <w:t>élèves roms,</w:t>
      </w:r>
      <w:r w:rsidR="000C0479">
        <w:rPr>
          <w:rStyle w:val="sb8d990e2"/>
        </w:rPr>
        <w:t xml:space="preserve"> était censée accueillir indistinctement des élèves roms et non</w:t>
      </w:r>
      <w:r w:rsidR="00553E28">
        <w:rPr>
          <w:rStyle w:val="sb8d990e2"/>
        </w:rPr>
        <w:t xml:space="preserve"> </w:t>
      </w:r>
      <w:r w:rsidR="000C0479">
        <w:rPr>
          <w:rStyle w:val="sb8d990e2"/>
        </w:rPr>
        <w:t>roms</w:t>
      </w:r>
      <w:r w:rsidR="00085EC3">
        <w:rPr>
          <w:rStyle w:val="sb8d990e2"/>
        </w:rPr>
        <w:t>.</w:t>
      </w:r>
      <w:r w:rsidR="00F92578">
        <w:rPr>
          <w:rStyle w:val="sb8d990e2"/>
        </w:rPr>
        <w:t xml:space="preserve"> </w:t>
      </w:r>
      <w:r w:rsidR="008B76C7">
        <w:rPr>
          <w:rStyle w:val="sb8d990e2"/>
        </w:rPr>
        <w:t>Cependant, seuls des élèves roms l</w:t>
      </w:r>
      <w:r w:rsidR="00C419B2">
        <w:rPr>
          <w:rStyle w:val="sb8d990e2"/>
        </w:rPr>
        <w:t>’</w:t>
      </w:r>
      <w:r w:rsidR="008B76C7">
        <w:rPr>
          <w:rStyle w:val="sb8d990e2"/>
        </w:rPr>
        <w:t>ont fréquenté</w:t>
      </w:r>
      <w:r w:rsidR="008F7F80">
        <w:rPr>
          <w:rStyle w:val="sb8d990e2"/>
        </w:rPr>
        <w:t>e</w:t>
      </w:r>
      <w:r w:rsidR="008B76C7">
        <w:rPr>
          <w:rStyle w:val="sb8d990e2"/>
        </w:rPr>
        <w:t xml:space="preserve"> durant les années 2008-2009 et 2009-2010.</w:t>
      </w:r>
    </w:p>
    <w:p w:rsidR="00FA0CA5" w:rsidRDefault="001912EE" w:rsidP="00FA0CA5">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94</w:t>
      </w:r>
      <w:r>
        <w:rPr>
          <w:rStyle w:val="sb8d990e2"/>
        </w:rPr>
        <w:fldChar w:fldCharType="end"/>
      </w:r>
      <w:r>
        <w:rPr>
          <w:rStyle w:val="sb8d990e2"/>
        </w:rPr>
        <w:t>.  En deuxième lieu, elle relève que l</w:t>
      </w:r>
      <w:r w:rsidR="00F92578">
        <w:rPr>
          <w:rStyle w:val="sb8d990e2"/>
        </w:rPr>
        <w:t>es salles de l</w:t>
      </w:r>
      <w:r w:rsidR="00C419B2">
        <w:rPr>
          <w:rStyle w:val="sb8d990e2"/>
        </w:rPr>
        <w:t>’</w:t>
      </w:r>
      <w:r w:rsidR="00F92578">
        <w:rPr>
          <w:rStyle w:val="sb8d990e2"/>
        </w:rPr>
        <w:t xml:space="preserve">école </w:t>
      </w:r>
      <w:r w:rsidR="00E506AC">
        <w:rPr>
          <w:rStyle w:val="sb8d990e2"/>
        </w:rPr>
        <w:t>ont été endommagées pendant les vacances d</w:t>
      </w:r>
      <w:r w:rsidR="00C419B2">
        <w:rPr>
          <w:rStyle w:val="sb8d990e2"/>
        </w:rPr>
        <w:t>’</w:t>
      </w:r>
      <w:r w:rsidR="00E506AC">
        <w:rPr>
          <w:rStyle w:val="sb8d990e2"/>
        </w:rPr>
        <w:t>été 2008</w:t>
      </w:r>
      <w:r w:rsidR="00FA0CA5">
        <w:rPr>
          <w:rStyle w:val="sb8d990e2"/>
        </w:rPr>
        <w:t xml:space="preserve">. Peu avant la rentrée scolaire, le </w:t>
      </w:r>
      <w:r w:rsidR="00FA0CA5">
        <w:t>8 septembre 2008, le directeur de la 12</w:t>
      </w:r>
      <w:r w:rsidR="00FA0CA5" w:rsidRPr="00911B68">
        <w:rPr>
          <w:vertAlign w:val="superscript"/>
        </w:rPr>
        <w:t>e</w:t>
      </w:r>
      <w:r w:rsidR="00FA0CA5">
        <w:t xml:space="preserve"> école a r</w:t>
      </w:r>
      <w:r w:rsidR="00553E28">
        <w:t>ap</w:t>
      </w:r>
      <w:r w:rsidR="00FA0CA5">
        <w:t>porté en détail aux autorités scolaires régionales du ministère de l</w:t>
      </w:r>
      <w:r w:rsidR="00C419B2">
        <w:t>’</w:t>
      </w:r>
      <w:r w:rsidR="00FA0CA5">
        <w:t>Education les dommages causés en concluant que ce</w:t>
      </w:r>
      <w:r w:rsidR="00553E28">
        <w:t>t établissement</w:t>
      </w:r>
      <w:r w:rsidR="00FA0CA5">
        <w:t xml:space="preserve"> n</w:t>
      </w:r>
      <w:r w:rsidR="00C419B2">
        <w:t>’</w:t>
      </w:r>
      <w:r w:rsidR="00FA0CA5">
        <w:t>était pas en état d</w:t>
      </w:r>
      <w:r w:rsidR="00C419B2">
        <w:t>’</w:t>
      </w:r>
      <w:r w:rsidR="00FA0CA5">
        <w:t>accueillir des élèves. Il affirmait que les installations ne pouvaient pas couvrir les besoins élémentaires de l</w:t>
      </w:r>
      <w:r w:rsidR="00C419B2">
        <w:t>’</w:t>
      </w:r>
      <w:r w:rsidR="00FA0CA5">
        <w:t xml:space="preserve">école et </w:t>
      </w:r>
      <w:r w:rsidR="000341E3">
        <w:t>qu</w:t>
      </w:r>
      <w:r w:rsidR="00C419B2">
        <w:t>’</w:t>
      </w:r>
      <w:r w:rsidR="000341E3">
        <w:t xml:space="preserve">elles </w:t>
      </w:r>
      <w:r w:rsidR="00FA0CA5">
        <w:t>mettaient en péril la sécurité des élèves et du personnel enseignant</w:t>
      </w:r>
      <w:r w:rsidR="00304B0A">
        <w:t xml:space="preserve"> (paragraphe </w:t>
      </w:r>
      <w:r w:rsidR="005509B0">
        <w:t>15</w:t>
      </w:r>
      <w:r w:rsidR="00304B0A">
        <w:t xml:space="preserve"> ci-dessus)</w:t>
      </w:r>
      <w:r w:rsidR="00FA0CA5">
        <w:t>.</w:t>
      </w:r>
    </w:p>
    <w:p w:rsidR="001912EE" w:rsidRPr="006F322D" w:rsidRDefault="001912EE" w:rsidP="001912EE">
      <w:pPr>
        <w:pStyle w:val="JuPara"/>
      </w:pPr>
      <w:r>
        <w:fldChar w:fldCharType="begin"/>
      </w:r>
      <w:r>
        <w:instrText xml:space="preserve"> SEQ level0 \*arabic </w:instrText>
      </w:r>
      <w:r>
        <w:fldChar w:fldCharType="separate"/>
      </w:r>
      <w:r w:rsidR="00E555B3">
        <w:rPr>
          <w:noProof/>
        </w:rPr>
        <w:t>95</w:t>
      </w:r>
      <w:r>
        <w:fldChar w:fldCharType="end"/>
      </w:r>
      <w:r>
        <w:t xml:space="preserve">.  A plusieurs reprises entre </w:t>
      </w:r>
      <w:r w:rsidR="009202F2">
        <w:t>septem</w:t>
      </w:r>
      <w:r>
        <w:t>bre 2008 et juin 2009, le directeur de la 12</w:t>
      </w:r>
      <w:r w:rsidRPr="00130E51">
        <w:rPr>
          <w:vertAlign w:val="superscript"/>
        </w:rPr>
        <w:t>e</w:t>
      </w:r>
      <w:r>
        <w:t xml:space="preserve"> école a adressé des lettres aux autorités régionales d</w:t>
      </w:r>
      <w:r w:rsidR="00C419B2">
        <w:t>’</w:t>
      </w:r>
      <w:r>
        <w:t>éducation, au préfet et au maire d</w:t>
      </w:r>
      <w:r w:rsidR="00C419B2">
        <w:t>’</w:t>
      </w:r>
      <w:r>
        <w:t>Aspropyrgos pour les alerter sur les carences auxquelles l</w:t>
      </w:r>
      <w:r w:rsidR="00C419B2">
        <w:t>’</w:t>
      </w:r>
      <w:r>
        <w:t>école avait à faire face, notamment en ce qui concernait l</w:t>
      </w:r>
      <w:r w:rsidR="00C419B2">
        <w:t>’</w:t>
      </w:r>
      <w:r>
        <w:t>itinéraire du bus scolaire affecté à l</w:t>
      </w:r>
      <w:r w:rsidR="00C419B2">
        <w:t>’</w:t>
      </w:r>
      <w:r>
        <w:t>école, la construction d</w:t>
      </w:r>
      <w:r w:rsidR="00C419B2">
        <w:t>’</w:t>
      </w:r>
      <w:r>
        <w:t>un préau, l</w:t>
      </w:r>
      <w:r w:rsidR="00C419B2">
        <w:t>’</w:t>
      </w:r>
      <w:r>
        <w:t xml:space="preserve">installation du chauffage et de toilettes supplémentaires, la construction de deux salles de </w:t>
      </w:r>
      <w:r w:rsidRPr="006F322D">
        <w:t>classe supplémentaires</w:t>
      </w:r>
      <w:r>
        <w:t xml:space="preserve"> et</w:t>
      </w:r>
      <w:r w:rsidRPr="006F322D">
        <w:t xml:space="preserve"> la création d</w:t>
      </w:r>
      <w:r w:rsidR="00C419B2">
        <w:t>’</w:t>
      </w:r>
      <w:r w:rsidRPr="006F322D">
        <w:t>un jardin d</w:t>
      </w:r>
      <w:r w:rsidR="00C419B2">
        <w:t>’</w:t>
      </w:r>
      <w:r w:rsidRPr="006F322D">
        <w:t>enfants</w:t>
      </w:r>
      <w:r>
        <w:t>.</w:t>
      </w:r>
      <w:r w:rsidR="008B76C7">
        <w:t xml:space="preserve"> </w:t>
      </w:r>
      <w:r w:rsidR="008F7F80">
        <w:rPr>
          <w:rStyle w:val="sb8d990e2"/>
        </w:rPr>
        <w:t>Le 11 juin 2009, le directeur de la 12</w:t>
      </w:r>
      <w:r w:rsidR="008F7F80" w:rsidRPr="00976AC8">
        <w:rPr>
          <w:rStyle w:val="sb8d990e2"/>
          <w:vertAlign w:val="superscript"/>
        </w:rPr>
        <w:t>e</w:t>
      </w:r>
      <w:r w:rsidR="00913BA1">
        <w:rPr>
          <w:rStyle w:val="sb8d990e2"/>
        </w:rPr>
        <w:t> école a</w:t>
      </w:r>
      <w:r w:rsidR="008F7F80">
        <w:rPr>
          <w:rStyle w:val="sb8d990e2"/>
        </w:rPr>
        <w:t xml:space="preserve"> en vain attiré l</w:t>
      </w:r>
      <w:r w:rsidR="00C419B2">
        <w:rPr>
          <w:rStyle w:val="sb8d990e2"/>
        </w:rPr>
        <w:t>’</w:t>
      </w:r>
      <w:r w:rsidR="008F7F80">
        <w:rPr>
          <w:rStyle w:val="sb8d990e2"/>
        </w:rPr>
        <w:t>attention du ministre de l</w:t>
      </w:r>
      <w:r w:rsidR="00C419B2">
        <w:rPr>
          <w:rStyle w:val="sb8d990e2"/>
        </w:rPr>
        <w:t>’</w:t>
      </w:r>
      <w:r w:rsidR="008F7F80">
        <w:rPr>
          <w:rStyle w:val="sb8d990e2"/>
        </w:rPr>
        <w:t>Education sur le fait que les livres scolaires étaient inappropriés pour les Roms, dont la langue maternelle n</w:t>
      </w:r>
      <w:r w:rsidR="00C419B2">
        <w:rPr>
          <w:rStyle w:val="sb8d990e2"/>
        </w:rPr>
        <w:t>’</w:t>
      </w:r>
      <w:r w:rsidR="008F7F80">
        <w:rPr>
          <w:rStyle w:val="sb8d990e2"/>
        </w:rPr>
        <w:t>étai</w:t>
      </w:r>
      <w:r w:rsidR="008E7E86">
        <w:rPr>
          <w:rStyle w:val="sb8d990e2"/>
        </w:rPr>
        <w:t>t pas le grec (paragraphe 27 ci</w:t>
      </w:r>
      <w:r w:rsidR="008E7E86">
        <w:rPr>
          <w:rStyle w:val="sb8d990e2"/>
        </w:rPr>
        <w:noBreakHyphen/>
      </w:r>
      <w:r w:rsidR="008F7F80">
        <w:rPr>
          <w:rStyle w:val="sb8d990e2"/>
        </w:rPr>
        <w:t>dessus).</w:t>
      </w:r>
    </w:p>
    <w:p w:rsidR="001912EE" w:rsidRPr="00ED22C8" w:rsidRDefault="001912EE" w:rsidP="001912EE">
      <w:pPr>
        <w:pStyle w:val="JuPara"/>
        <w:rPr>
          <w:rStyle w:val="sb8d990e2"/>
        </w:rPr>
      </w:pPr>
      <w:r w:rsidRPr="006F322D">
        <w:fldChar w:fldCharType="begin"/>
      </w:r>
      <w:r w:rsidRPr="006F322D">
        <w:instrText xml:space="preserve"> SEQ level0 \*arabic </w:instrText>
      </w:r>
      <w:r w:rsidRPr="006F322D">
        <w:fldChar w:fldCharType="separate"/>
      </w:r>
      <w:r w:rsidR="00E555B3">
        <w:rPr>
          <w:noProof/>
        </w:rPr>
        <w:t>96</w:t>
      </w:r>
      <w:r w:rsidRPr="006F322D">
        <w:fldChar w:fldCharType="end"/>
      </w:r>
      <w:r w:rsidRPr="006F322D">
        <w:t>.  Le 23 juillet 2009, donc après la fin de l</w:t>
      </w:r>
      <w:r w:rsidR="00C419B2">
        <w:t>’</w:t>
      </w:r>
      <w:r w:rsidRPr="006F322D">
        <w:t>année scolaire 2008-2009,</w:t>
      </w:r>
      <w:r>
        <w:t xml:space="preserve"> </w:t>
      </w:r>
      <w:r w:rsidRPr="00ED22C8">
        <w:t xml:space="preserve">le médiateur </w:t>
      </w:r>
      <w:r>
        <w:t xml:space="preserve">a </w:t>
      </w:r>
      <w:r w:rsidRPr="00ED22C8">
        <w:t>écrit au ministère de l</w:t>
      </w:r>
      <w:r w:rsidR="00C419B2">
        <w:t>’</w:t>
      </w:r>
      <w:r w:rsidRPr="00ED22C8">
        <w:t>Education pour l</w:t>
      </w:r>
      <w:r w:rsidR="00C419B2">
        <w:t>’</w:t>
      </w:r>
      <w:r w:rsidRPr="00ED22C8">
        <w:t>informer que le maire d</w:t>
      </w:r>
      <w:r w:rsidR="00C419B2">
        <w:t>’</w:t>
      </w:r>
      <w:r w:rsidRPr="00ED22C8">
        <w:t>Aspropyrgos avait ignoré une invitation du ministère à faire le nécessaire pour la remise en état immédiate de la 12</w:t>
      </w:r>
      <w:r w:rsidRPr="00ED22C8">
        <w:rPr>
          <w:vertAlign w:val="superscript"/>
        </w:rPr>
        <w:t>e</w:t>
      </w:r>
      <w:r w:rsidRPr="00ED22C8">
        <w:t xml:space="preserve"> école (paragraphe </w:t>
      </w:r>
      <w:r>
        <w:t>28</w:t>
      </w:r>
      <w:r w:rsidRPr="00ED22C8">
        <w:t xml:space="preserve"> ci-dessus).</w:t>
      </w:r>
    </w:p>
    <w:p w:rsidR="001912EE" w:rsidRDefault="001912EE" w:rsidP="00FA0CA5">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97</w:t>
      </w:r>
      <w:r>
        <w:rPr>
          <w:rStyle w:val="sb8d990e2"/>
        </w:rPr>
        <w:fldChar w:fldCharType="end"/>
      </w:r>
      <w:r>
        <w:rPr>
          <w:rStyle w:val="sb8d990e2"/>
        </w:rPr>
        <w:t>.  </w:t>
      </w:r>
      <w:r w:rsidRPr="00ED22C8">
        <w:rPr>
          <w:rStyle w:val="sb8d990e2"/>
        </w:rPr>
        <w:t>Il existe donc plusieurs éléments établissant que, pendant l</w:t>
      </w:r>
      <w:r w:rsidR="00C419B2">
        <w:rPr>
          <w:rStyle w:val="sb8d990e2"/>
        </w:rPr>
        <w:t>’</w:t>
      </w:r>
      <w:r w:rsidRPr="00ED22C8">
        <w:rPr>
          <w:rStyle w:val="sb8d990e2"/>
        </w:rPr>
        <w:t>année scolaire 2008-2009, les élèves de la 12</w:t>
      </w:r>
      <w:r w:rsidRPr="00ED22C8">
        <w:rPr>
          <w:rStyle w:val="sb8d990e2"/>
          <w:vertAlign w:val="superscript"/>
        </w:rPr>
        <w:t>e</w:t>
      </w:r>
      <w:r w:rsidRPr="00ED22C8">
        <w:rPr>
          <w:rStyle w:val="sb8d990e2"/>
        </w:rPr>
        <w:t xml:space="preserve"> école ont été</w:t>
      </w:r>
      <w:r>
        <w:rPr>
          <w:rStyle w:val="sb8d990e2"/>
        </w:rPr>
        <w:t xml:space="preserve"> maintenus dans des </w:t>
      </w:r>
      <w:r w:rsidRPr="00992002">
        <w:rPr>
          <w:rStyle w:val="sb8d990e2"/>
        </w:rPr>
        <w:t>conditions matérielles telles qu</w:t>
      </w:r>
      <w:r w:rsidR="00C419B2">
        <w:rPr>
          <w:rStyle w:val="sb8d990e2"/>
        </w:rPr>
        <w:t>’</w:t>
      </w:r>
      <w:r w:rsidRPr="00992002">
        <w:rPr>
          <w:rStyle w:val="sb8d990e2"/>
        </w:rPr>
        <w:t>elles rendaient sinon impossible, du moins très difficile la poursuite de leur scolarité. Prévue pour une durée provisoire à l</w:t>
      </w:r>
      <w:r w:rsidR="00C419B2">
        <w:rPr>
          <w:rStyle w:val="sb8d990e2"/>
        </w:rPr>
        <w:t>’</w:t>
      </w:r>
      <w:r w:rsidRPr="00992002">
        <w:rPr>
          <w:rStyle w:val="sb8d990e2"/>
        </w:rPr>
        <w:t>époque, faute d</w:t>
      </w:r>
      <w:r w:rsidR="00C419B2">
        <w:rPr>
          <w:rStyle w:val="sb8d990e2"/>
        </w:rPr>
        <w:t>’</w:t>
      </w:r>
      <w:r w:rsidRPr="00992002">
        <w:rPr>
          <w:rStyle w:val="sb8d990e2"/>
        </w:rPr>
        <w:t>espace disponible, la scolarisation des enfants dans l</w:t>
      </w:r>
      <w:r w:rsidR="00C419B2">
        <w:rPr>
          <w:rStyle w:val="sb8d990e2"/>
        </w:rPr>
        <w:t>’</w:t>
      </w:r>
      <w:r w:rsidRPr="00992002">
        <w:rPr>
          <w:rStyle w:val="sb8d990e2"/>
        </w:rPr>
        <w:t>annexe du bâtiment de la 10</w:t>
      </w:r>
      <w:r w:rsidRPr="00992002">
        <w:rPr>
          <w:rStyle w:val="sb8d990e2"/>
          <w:vertAlign w:val="superscript"/>
        </w:rPr>
        <w:t>e</w:t>
      </w:r>
      <w:r w:rsidRPr="00992002">
        <w:rPr>
          <w:rStyle w:val="sb8d990e2"/>
        </w:rPr>
        <w:t xml:space="preserve"> école s</w:t>
      </w:r>
      <w:r w:rsidR="00C419B2">
        <w:rPr>
          <w:rStyle w:val="sb8d990e2"/>
        </w:rPr>
        <w:t>’</w:t>
      </w:r>
      <w:r w:rsidRPr="00992002">
        <w:rPr>
          <w:rStyle w:val="sb8d990e2"/>
        </w:rPr>
        <w:t>est poursuivie pendant la période 200</w:t>
      </w:r>
      <w:r w:rsidR="00913BA1">
        <w:rPr>
          <w:rStyle w:val="sb8d990e2"/>
        </w:rPr>
        <w:t>9</w:t>
      </w:r>
      <w:r w:rsidRPr="00992002">
        <w:rPr>
          <w:rStyle w:val="sb8d990e2"/>
        </w:rPr>
        <w:t>-2010.</w:t>
      </w:r>
    </w:p>
    <w:p w:rsidR="001163EF" w:rsidRDefault="00401245"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98</w:t>
      </w:r>
      <w:r>
        <w:rPr>
          <w:rStyle w:val="sb8d990e2"/>
        </w:rPr>
        <w:fldChar w:fldCharType="end"/>
      </w:r>
      <w:r>
        <w:rPr>
          <w:rStyle w:val="sb8d990e2"/>
        </w:rPr>
        <w:t>.  </w:t>
      </w:r>
      <w:r w:rsidR="001912EE">
        <w:rPr>
          <w:rStyle w:val="sb8d990e2"/>
        </w:rPr>
        <w:t>En troisième lieu, l</w:t>
      </w:r>
      <w:r w:rsidR="00B35C13">
        <w:rPr>
          <w:rStyle w:val="sb8d990e2"/>
        </w:rPr>
        <w:t>a Cour note que</w:t>
      </w:r>
      <w:r w:rsidR="000C0479">
        <w:rPr>
          <w:rStyle w:val="sb8d990e2"/>
        </w:rPr>
        <w:t xml:space="preserve"> le 8 octobre 2008,</w:t>
      </w:r>
      <w:r w:rsidR="00B35C13">
        <w:rPr>
          <w:rStyle w:val="sb8d990e2"/>
        </w:rPr>
        <w:t xml:space="preserve"> les autorités scolaires régionales du ministère de l</w:t>
      </w:r>
      <w:r w:rsidR="00C419B2">
        <w:rPr>
          <w:rStyle w:val="sb8d990e2"/>
        </w:rPr>
        <w:t>’</w:t>
      </w:r>
      <w:r w:rsidR="00B35C13">
        <w:rPr>
          <w:rStyle w:val="sb8d990e2"/>
        </w:rPr>
        <w:t xml:space="preserve">Education ont élaboré un plan visant à </w:t>
      </w:r>
      <w:r w:rsidR="00F63583">
        <w:rPr>
          <w:rStyle w:val="sb8d990e2"/>
        </w:rPr>
        <w:t>la</w:t>
      </w:r>
      <w:r w:rsidR="00B35C13">
        <w:rPr>
          <w:rStyle w:val="sb8d990e2"/>
        </w:rPr>
        <w:t xml:space="preserve"> fusion</w:t>
      </w:r>
      <w:r w:rsidR="00F63583">
        <w:rPr>
          <w:rStyle w:val="sb8d990e2"/>
        </w:rPr>
        <w:t xml:space="preserve"> d</w:t>
      </w:r>
      <w:r w:rsidR="00B35C13">
        <w:rPr>
          <w:rStyle w:val="sb8d990e2"/>
        </w:rPr>
        <w:t>es 11</w:t>
      </w:r>
      <w:r w:rsidR="00B35C13" w:rsidRPr="00B35C13">
        <w:rPr>
          <w:rStyle w:val="sb8d990e2"/>
          <w:vertAlign w:val="superscript"/>
        </w:rPr>
        <w:t>e</w:t>
      </w:r>
      <w:r w:rsidR="00B35C13">
        <w:rPr>
          <w:rStyle w:val="sb8d990e2"/>
        </w:rPr>
        <w:t xml:space="preserve"> et 12</w:t>
      </w:r>
      <w:r w:rsidR="00B35C13" w:rsidRPr="00B35C13">
        <w:rPr>
          <w:rStyle w:val="sb8d990e2"/>
          <w:vertAlign w:val="superscript"/>
        </w:rPr>
        <w:t>e</w:t>
      </w:r>
      <w:r w:rsidR="00B35C13">
        <w:rPr>
          <w:rStyle w:val="sb8d990e2"/>
        </w:rPr>
        <w:t xml:space="preserve"> écoles afin que cette dernière perde son caractère d</w:t>
      </w:r>
      <w:r w:rsidR="00C419B2">
        <w:rPr>
          <w:rStyle w:val="sb8d990e2"/>
        </w:rPr>
        <w:t>’</w:t>
      </w:r>
      <w:r w:rsidR="00B35C13">
        <w:rPr>
          <w:rStyle w:val="sb8d990e2"/>
        </w:rPr>
        <w:t>école</w:t>
      </w:r>
      <w:r w:rsidR="00F63583">
        <w:rPr>
          <w:rStyle w:val="sb8d990e2"/>
        </w:rPr>
        <w:t xml:space="preserve"> </w:t>
      </w:r>
      <w:r w:rsidR="00B35C13">
        <w:rPr>
          <w:rStyle w:val="sb8d990e2"/>
        </w:rPr>
        <w:t xml:space="preserve">ghetto. Toutefois, </w:t>
      </w:r>
      <w:r w:rsidR="00E85D90">
        <w:rPr>
          <w:rStyle w:val="sb8d990e2"/>
        </w:rPr>
        <w:t>tant le maire d</w:t>
      </w:r>
      <w:r w:rsidR="00C419B2">
        <w:rPr>
          <w:rStyle w:val="sb8d990e2"/>
        </w:rPr>
        <w:t>’</w:t>
      </w:r>
      <w:r w:rsidR="00E85D90">
        <w:rPr>
          <w:rStyle w:val="sb8d990e2"/>
        </w:rPr>
        <w:t xml:space="preserve">Aspropyrgos que </w:t>
      </w:r>
      <w:r w:rsidR="00B35C13">
        <w:rPr>
          <w:rStyle w:val="sb8d990e2"/>
        </w:rPr>
        <w:t>le préfet de l</w:t>
      </w:r>
      <w:r w:rsidR="00C419B2">
        <w:rPr>
          <w:rStyle w:val="sb8d990e2"/>
        </w:rPr>
        <w:t>’</w:t>
      </w:r>
      <w:r w:rsidR="00B35C13">
        <w:rPr>
          <w:rStyle w:val="sb8d990e2"/>
        </w:rPr>
        <w:t>Attique de l</w:t>
      </w:r>
      <w:r w:rsidR="00C419B2">
        <w:rPr>
          <w:rStyle w:val="sb8d990e2"/>
        </w:rPr>
        <w:t>’</w:t>
      </w:r>
      <w:r w:rsidR="00B35C13">
        <w:rPr>
          <w:rStyle w:val="sb8d990e2"/>
        </w:rPr>
        <w:t xml:space="preserve">Ouest </w:t>
      </w:r>
      <w:r w:rsidR="00E85D90">
        <w:rPr>
          <w:rStyle w:val="sb8d990e2"/>
        </w:rPr>
        <w:t>ont</w:t>
      </w:r>
      <w:r w:rsidR="00B35C13">
        <w:rPr>
          <w:rStyle w:val="sb8d990e2"/>
        </w:rPr>
        <w:t xml:space="preserve"> refusé d</w:t>
      </w:r>
      <w:r w:rsidR="00C419B2">
        <w:rPr>
          <w:rStyle w:val="sb8d990e2"/>
        </w:rPr>
        <w:t>’</w:t>
      </w:r>
      <w:r w:rsidR="00B35C13">
        <w:rPr>
          <w:rStyle w:val="sb8d990e2"/>
        </w:rPr>
        <w:t xml:space="preserve">autoriser </w:t>
      </w:r>
      <w:r w:rsidR="00F63583">
        <w:rPr>
          <w:rStyle w:val="sb8d990e2"/>
        </w:rPr>
        <w:t>une telle</w:t>
      </w:r>
      <w:r w:rsidR="00B35C13">
        <w:rPr>
          <w:rStyle w:val="sb8d990e2"/>
        </w:rPr>
        <w:t xml:space="preserve"> fusion</w:t>
      </w:r>
      <w:r w:rsidR="00B24DE1">
        <w:rPr>
          <w:rStyle w:val="sb8d990e2"/>
        </w:rPr>
        <w:t xml:space="preserve"> </w:t>
      </w:r>
      <w:r w:rsidR="00B35C13">
        <w:rPr>
          <w:rStyle w:val="sb8d990e2"/>
        </w:rPr>
        <w:t>par souci d</w:t>
      </w:r>
      <w:r w:rsidR="00C419B2">
        <w:rPr>
          <w:rStyle w:val="sb8d990e2"/>
        </w:rPr>
        <w:t>’</w:t>
      </w:r>
      <w:r w:rsidR="00B35C13">
        <w:rPr>
          <w:rStyle w:val="sb8d990e2"/>
        </w:rPr>
        <w:t xml:space="preserve">éviter de nouveaux incidents </w:t>
      </w:r>
      <w:r w:rsidR="00B24DE1">
        <w:rPr>
          <w:rStyle w:val="sb8d990e2"/>
        </w:rPr>
        <w:t xml:space="preserve">de la </w:t>
      </w:r>
      <w:r w:rsidR="00B35C13">
        <w:rPr>
          <w:rStyle w:val="sb8d990e2"/>
        </w:rPr>
        <w:t>par</w:t>
      </w:r>
      <w:r w:rsidR="00B24DE1">
        <w:rPr>
          <w:rStyle w:val="sb8d990e2"/>
        </w:rPr>
        <w:t>t d</w:t>
      </w:r>
      <w:r w:rsidR="00B35C13">
        <w:rPr>
          <w:rStyle w:val="sb8d990e2"/>
        </w:rPr>
        <w:t>es parents d</w:t>
      </w:r>
      <w:r w:rsidR="00C419B2">
        <w:rPr>
          <w:rStyle w:val="sb8d990e2"/>
        </w:rPr>
        <w:t>’</w:t>
      </w:r>
      <w:r w:rsidR="00B35C13">
        <w:rPr>
          <w:rStyle w:val="sb8d990e2"/>
        </w:rPr>
        <w:t xml:space="preserve">élèves </w:t>
      </w:r>
      <w:r w:rsidR="000341E3">
        <w:rPr>
          <w:rStyle w:val="sb8d990e2"/>
        </w:rPr>
        <w:t xml:space="preserve">non roms </w:t>
      </w:r>
      <w:r w:rsidR="00B35C13">
        <w:rPr>
          <w:rStyle w:val="sb8d990e2"/>
        </w:rPr>
        <w:t>de la 11</w:t>
      </w:r>
      <w:r w:rsidR="00B35C13" w:rsidRPr="00B35C13">
        <w:rPr>
          <w:rStyle w:val="sb8d990e2"/>
          <w:vertAlign w:val="superscript"/>
        </w:rPr>
        <w:t>e</w:t>
      </w:r>
      <w:r w:rsidR="00AA7FB5">
        <w:rPr>
          <w:rStyle w:val="sb8d990e2"/>
        </w:rPr>
        <w:t> </w:t>
      </w:r>
      <w:r w:rsidR="00B35C13">
        <w:rPr>
          <w:rStyle w:val="sb8d990e2"/>
        </w:rPr>
        <w:t>école</w:t>
      </w:r>
      <w:r w:rsidR="00304B0A">
        <w:rPr>
          <w:rStyle w:val="sb8d990e2"/>
        </w:rPr>
        <w:t xml:space="preserve"> (paragraphe</w:t>
      </w:r>
      <w:r w:rsidR="00B43FE4">
        <w:rPr>
          <w:rStyle w:val="sb8d990e2"/>
        </w:rPr>
        <w:t>s</w:t>
      </w:r>
      <w:r w:rsidR="00304B0A">
        <w:rPr>
          <w:rStyle w:val="sb8d990e2"/>
        </w:rPr>
        <w:t xml:space="preserve"> 2</w:t>
      </w:r>
      <w:r w:rsidR="00C40B90">
        <w:rPr>
          <w:rStyle w:val="sb8d990e2"/>
        </w:rPr>
        <w:t>0</w:t>
      </w:r>
      <w:r w:rsidR="00B43FE4">
        <w:rPr>
          <w:rStyle w:val="sb8d990e2"/>
        </w:rPr>
        <w:t xml:space="preserve"> et 28</w:t>
      </w:r>
      <w:r w:rsidR="00304B0A">
        <w:rPr>
          <w:rStyle w:val="sb8d990e2"/>
        </w:rPr>
        <w:t xml:space="preserve"> ci-dessus)</w:t>
      </w:r>
      <w:r w:rsidR="00B35C13">
        <w:rPr>
          <w:rStyle w:val="sb8d990e2"/>
        </w:rPr>
        <w:t>.</w:t>
      </w:r>
      <w:r w:rsidR="00AA7FB5">
        <w:rPr>
          <w:rStyle w:val="sb8d990e2"/>
        </w:rPr>
        <w:t xml:space="preserve"> De plus, dans sa lettre du 26 </w:t>
      </w:r>
      <w:r w:rsidR="00B24DE1">
        <w:rPr>
          <w:rStyle w:val="sb8d990e2"/>
        </w:rPr>
        <w:t>septembre 2008 au min</w:t>
      </w:r>
      <w:r w:rsidR="00973415">
        <w:rPr>
          <w:rStyle w:val="sb8d990e2"/>
        </w:rPr>
        <w:t>istère de l</w:t>
      </w:r>
      <w:r w:rsidR="00C419B2">
        <w:rPr>
          <w:rStyle w:val="sb8d990e2"/>
        </w:rPr>
        <w:t>’</w:t>
      </w:r>
      <w:r w:rsidR="00973415">
        <w:rPr>
          <w:rStyle w:val="sb8d990e2"/>
        </w:rPr>
        <w:t>Education, le maire</w:t>
      </w:r>
      <w:r w:rsidR="00B24DE1">
        <w:rPr>
          <w:rStyle w:val="sb8d990e2"/>
        </w:rPr>
        <w:t xml:space="preserve"> affirmait qu</w:t>
      </w:r>
      <w:r w:rsidR="00C419B2">
        <w:rPr>
          <w:rStyle w:val="sb8d990e2"/>
        </w:rPr>
        <w:t>’</w:t>
      </w:r>
      <w:r w:rsidR="00B24DE1">
        <w:rPr>
          <w:rStyle w:val="sb8d990e2"/>
        </w:rPr>
        <w:t>une ségrégation des enfants roms des autres élèves était devenue une nécessité in</w:t>
      </w:r>
      <w:r w:rsidR="00E65F1B">
        <w:rPr>
          <w:rStyle w:val="sb8d990e2"/>
        </w:rPr>
        <w:t>contourn</w:t>
      </w:r>
      <w:r w:rsidR="00B24DE1">
        <w:rPr>
          <w:rStyle w:val="sb8d990e2"/>
        </w:rPr>
        <w:t xml:space="preserve">able, car les </w:t>
      </w:r>
      <w:r w:rsidR="003C6E0C">
        <w:rPr>
          <w:rStyle w:val="sb8d990e2"/>
        </w:rPr>
        <w:t>« </w:t>
      </w:r>
      <w:r w:rsidR="00F63583">
        <w:rPr>
          <w:rStyle w:val="sb8d990e2"/>
        </w:rPr>
        <w:t>T</w:t>
      </w:r>
      <w:r w:rsidR="00B24DE1">
        <w:rPr>
          <w:rStyle w:val="sb8d990e2"/>
        </w:rPr>
        <w:t>siganes a</w:t>
      </w:r>
      <w:r w:rsidR="00E65F1B">
        <w:rPr>
          <w:rStyle w:val="sb8d990e2"/>
        </w:rPr>
        <w:t>ur</w:t>
      </w:r>
      <w:r w:rsidR="00B24DE1">
        <w:rPr>
          <w:rStyle w:val="sb8d990e2"/>
        </w:rPr>
        <w:t>aient choisi de vivre dans des décharges qu</w:t>
      </w:r>
      <w:r w:rsidR="00C419B2">
        <w:rPr>
          <w:rStyle w:val="sb8d990e2"/>
        </w:rPr>
        <w:t>’</w:t>
      </w:r>
      <w:r w:rsidR="00B24DE1">
        <w:rPr>
          <w:rStyle w:val="sb8d990e2"/>
        </w:rPr>
        <w:t>ils a</w:t>
      </w:r>
      <w:r w:rsidR="00F63583">
        <w:rPr>
          <w:rStyle w:val="sb8d990e2"/>
        </w:rPr>
        <w:t>ur</w:t>
      </w:r>
      <w:r w:rsidR="00B24DE1">
        <w:rPr>
          <w:rStyle w:val="sb8d990e2"/>
        </w:rPr>
        <w:t>aient eux-mêmes créées</w:t>
      </w:r>
      <w:r w:rsidR="003C6E0C">
        <w:rPr>
          <w:rStyle w:val="sb8d990e2"/>
        </w:rPr>
        <w:t> »</w:t>
      </w:r>
      <w:r w:rsidR="00F63583">
        <w:rPr>
          <w:rStyle w:val="sb8d990e2"/>
        </w:rPr>
        <w:t xml:space="preserve"> et</w:t>
      </w:r>
      <w:r w:rsidR="00B24DE1">
        <w:rPr>
          <w:rStyle w:val="sb8d990e2"/>
        </w:rPr>
        <w:t xml:space="preserve"> </w:t>
      </w:r>
      <w:r w:rsidR="00E65F1B">
        <w:rPr>
          <w:rStyle w:val="sb8d990e2"/>
        </w:rPr>
        <w:t xml:space="preserve">de </w:t>
      </w:r>
      <w:r w:rsidR="003C6E0C">
        <w:rPr>
          <w:rStyle w:val="sb8d990e2"/>
        </w:rPr>
        <w:t>« </w:t>
      </w:r>
      <w:r w:rsidR="00B24DE1">
        <w:rPr>
          <w:rStyle w:val="sb8d990e2"/>
        </w:rPr>
        <w:t>s</w:t>
      </w:r>
      <w:r w:rsidR="00C419B2">
        <w:rPr>
          <w:rStyle w:val="sb8d990e2"/>
        </w:rPr>
        <w:t>’</w:t>
      </w:r>
      <w:r w:rsidR="00B24DE1">
        <w:rPr>
          <w:rStyle w:val="sb8d990e2"/>
        </w:rPr>
        <w:t>adonn</w:t>
      </w:r>
      <w:r w:rsidR="00E65F1B">
        <w:rPr>
          <w:rStyle w:val="sb8d990e2"/>
        </w:rPr>
        <w:t>er</w:t>
      </w:r>
      <w:r w:rsidR="00B24DE1">
        <w:rPr>
          <w:rStyle w:val="sb8d990e2"/>
        </w:rPr>
        <w:t xml:space="preserve"> à des activités illégales</w:t>
      </w:r>
      <w:r w:rsidR="003C6E0C">
        <w:rPr>
          <w:rStyle w:val="sb8d990e2"/>
        </w:rPr>
        <w:t> »</w:t>
      </w:r>
      <w:r w:rsidR="00F63583">
        <w:rPr>
          <w:rStyle w:val="sb8d990e2"/>
        </w:rPr>
        <w:t>. Il concluait</w:t>
      </w:r>
      <w:r w:rsidR="00B24DE1">
        <w:rPr>
          <w:rStyle w:val="sb8d990e2"/>
        </w:rPr>
        <w:t xml:space="preserve"> </w:t>
      </w:r>
      <w:r w:rsidR="00F63583">
        <w:rPr>
          <w:rStyle w:val="sb8d990e2"/>
        </w:rPr>
        <w:t>que</w:t>
      </w:r>
      <w:r w:rsidR="00B24DE1">
        <w:rPr>
          <w:rStyle w:val="sb8d990e2"/>
        </w:rPr>
        <w:t xml:space="preserve"> leurs enfants ne pouvaient </w:t>
      </w:r>
      <w:r w:rsidR="00F63583">
        <w:rPr>
          <w:rStyle w:val="sb8d990e2"/>
        </w:rPr>
        <w:t xml:space="preserve">par conséquent </w:t>
      </w:r>
      <w:r w:rsidR="00A75A3F">
        <w:rPr>
          <w:rStyle w:val="sb8d990e2"/>
        </w:rPr>
        <w:t xml:space="preserve">pas </w:t>
      </w:r>
      <w:r w:rsidR="00B24DE1">
        <w:rPr>
          <w:rStyle w:val="sb8d990e2"/>
        </w:rPr>
        <w:t xml:space="preserve">« exiger de partager les </w:t>
      </w:r>
      <w:r w:rsidR="0024345C">
        <w:t>mêmes salles de classe que les autres élèves d</w:t>
      </w:r>
      <w:r w:rsidR="00C419B2">
        <w:t>’</w:t>
      </w:r>
      <w:r w:rsidR="0024345C">
        <w:t>Aspropyrgos »</w:t>
      </w:r>
      <w:r w:rsidR="00304B0A">
        <w:t xml:space="preserve"> (paragraphe </w:t>
      </w:r>
      <w:r w:rsidR="00C40B90">
        <w:t>19</w:t>
      </w:r>
      <w:r w:rsidR="00304B0A">
        <w:t xml:space="preserve"> ci-dessus)</w:t>
      </w:r>
      <w:r w:rsidR="00B24DE1">
        <w:rPr>
          <w:rStyle w:val="sb8d990e2"/>
        </w:rPr>
        <w:t>.</w:t>
      </w:r>
    </w:p>
    <w:p w:rsidR="00B136CA" w:rsidRDefault="00401245" w:rsidP="00076451">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99</w:t>
      </w:r>
      <w:r>
        <w:rPr>
          <w:rStyle w:val="sb8d990e2"/>
        </w:rPr>
        <w:fldChar w:fldCharType="end"/>
      </w:r>
      <w:r>
        <w:rPr>
          <w:rStyle w:val="sb8d990e2"/>
        </w:rPr>
        <w:t>.  </w:t>
      </w:r>
      <w:r w:rsidR="00976AC8">
        <w:rPr>
          <w:rStyle w:val="sb8d990e2"/>
        </w:rPr>
        <w:t xml:space="preserve">La Cour </w:t>
      </w:r>
      <w:r w:rsidR="003C6E0C">
        <w:rPr>
          <w:rStyle w:val="sb8d990e2"/>
        </w:rPr>
        <w:t xml:space="preserve">constate </w:t>
      </w:r>
      <w:r w:rsidR="00976AC8">
        <w:rPr>
          <w:rStyle w:val="sb8d990e2"/>
        </w:rPr>
        <w:t>de surcroît que le ministère de l</w:t>
      </w:r>
      <w:r w:rsidR="00C419B2">
        <w:rPr>
          <w:rStyle w:val="sb8d990e2"/>
        </w:rPr>
        <w:t>’</w:t>
      </w:r>
      <w:r w:rsidR="00976AC8">
        <w:rPr>
          <w:rStyle w:val="sb8d990e2"/>
        </w:rPr>
        <w:t>Education n</w:t>
      </w:r>
      <w:r w:rsidR="00C419B2">
        <w:rPr>
          <w:rStyle w:val="sb8d990e2"/>
        </w:rPr>
        <w:t>’</w:t>
      </w:r>
      <w:r w:rsidR="00976AC8">
        <w:rPr>
          <w:rStyle w:val="sb8d990e2"/>
        </w:rPr>
        <w:t>a pas répondu aux lettres des requérants d</w:t>
      </w:r>
      <w:r w:rsidR="006F322D">
        <w:rPr>
          <w:rStyle w:val="sb8d990e2"/>
        </w:rPr>
        <w:t>u</w:t>
      </w:r>
      <w:r w:rsidR="00976AC8">
        <w:rPr>
          <w:rStyle w:val="sb8d990e2"/>
        </w:rPr>
        <w:t xml:space="preserve"> 30 mai et </w:t>
      </w:r>
      <w:r w:rsidR="006F322D">
        <w:rPr>
          <w:rStyle w:val="sb8d990e2"/>
        </w:rPr>
        <w:t xml:space="preserve">du </w:t>
      </w:r>
      <w:r w:rsidR="00976AC8">
        <w:rPr>
          <w:rStyle w:val="sb8d990e2"/>
        </w:rPr>
        <w:t xml:space="preserve">20 juillet 2009 </w:t>
      </w:r>
      <w:r w:rsidR="00A73C8C">
        <w:rPr>
          <w:rStyle w:val="sb8d990e2"/>
        </w:rPr>
        <w:t>l</w:t>
      </w:r>
      <w:r w:rsidR="00DA6922">
        <w:rPr>
          <w:rStyle w:val="sb8d990e2"/>
        </w:rPr>
        <w:t>ui demand</w:t>
      </w:r>
      <w:r w:rsidR="00976AC8">
        <w:rPr>
          <w:rStyle w:val="sb8d990e2"/>
        </w:rPr>
        <w:t>a</w:t>
      </w:r>
      <w:r w:rsidR="00A73C8C">
        <w:rPr>
          <w:rStyle w:val="sb8d990e2"/>
        </w:rPr>
        <w:t>n</w:t>
      </w:r>
      <w:r w:rsidR="00976AC8">
        <w:rPr>
          <w:rStyle w:val="sb8d990e2"/>
        </w:rPr>
        <w:t xml:space="preserve">t </w:t>
      </w:r>
      <w:r w:rsidR="00DA6922">
        <w:rPr>
          <w:rStyle w:val="sb8d990e2"/>
        </w:rPr>
        <w:t>d</w:t>
      </w:r>
      <w:r w:rsidR="00C419B2">
        <w:rPr>
          <w:rStyle w:val="sb8d990e2"/>
        </w:rPr>
        <w:t>’</w:t>
      </w:r>
      <w:r w:rsidR="00A73C8C">
        <w:rPr>
          <w:rStyle w:val="sb8d990e2"/>
        </w:rPr>
        <w:t xml:space="preserve">autoriser les élèves roms </w:t>
      </w:r>
      <w:r w:rsidR="006F322D">
        <w:rPr>
          <w:rStyle w:val="sb8d990e2"/>
        </w:rPr>
        <w:t>à</w:t>
      </w:r>
      <w:r w:rsidR="00976AC8">
        <w:rPr>
          <w:rStyle w:val="sb8d990e2"/>
        </w:rPr>
        <w:t xml:space="preserve"> fréquenter la 10</w:t>
      </w:r>
      <w:r w:rsidR="00976AC8" w:rsidRPr="00976AC8">
        <w:rPr>
          <w:rStyle w:val="sb8d990e2"/>
          <w:vertAlign w:val="superscript"/>
        </w:rPr>
        <w:t>e</w:t>
      </w:r>
      <w:r w:rsidR="00CB71D8">
        <w:rPr>
          <w:rStyle w:val="sb8d990e2"/>
        </w:rPr>
        <w:t> </w:t>
      </w:r>
      <w:r w:rsidR="00976AC8">
        <w:rPr>
          <w:rStyle w:val="sb8d990e2"/>
        </w:rPr>
        <w:t xml:space="preserve">école et </w:t>
      </w:r>
      <w:r w:rsidR="00DA6922">
        <w:rPr>
          <w:rStyle w:val="sb8d990e2"/>
        </w:rPr>
        <w:t>l</w:t>
      </w:r>
      <w:r w:rsidR="00C419B2">
        <w:rPr>
          <w:rStyle w:val="sb8d990e2"/>
        </w:rPr>
        <w:t>’</w:t>
      </w:r>
      <w:r w:rsidR="00DA6922">
        <w:rPr>
          <w:rStyle w:val="sb8d990e2"/>
        </w:rPr>
        <w:t xml:space="preserve">invitant </w:t>
      </w:r>
      <w:r w:rsidR="00976AC8">
        <w:rPr>
          <w:rStyle w:val="sb8d990e2"/>
        </w:rPr>
        <w:t xml:space="preserve">à établir un programme scolaire spécialement conçu </w:t>
      </w:r>
      <w:r w:rsidR="00A73C8C">
        <w:rPr>
          <w:rStyle w:val="sb8d990e2"/>
        </w:rPr>
        <w:t xml:space="preserve">pour </w:t>
      </w:r>
      <w:r w:rsidR="00976AC8">
        <w:rPr>
          <w:rStyle w:val="sb8d990e2"/>
        </w:rPr>
        <w:t>leurs besoins (paragraphe 2</w:t>
      </w:r>
      <w:r w:rsidR="00C40B90">
        <w:rPr>
          <w:rStyle w:val="sb8d990e2"/>
        </w:rPr>
        <w:t>6</w:t>
      </w:r>
      <w:r w:rsidR="00976AC8">
        <w:rPr>
          <w:rStyle w:val="sb8d990e2"/>
        </w:rPr>
        <w:t xml:space="preserve"> ci-dessus).</w:t>
      </w:r>
    </w:p>
    <w:p w:rsidR="00976AC8" w:rsidRPr="00992002" w:rsidRDefault="00B558AE" w:rsidP="00076451">
      <w:pPr>
        <w:pStyle w:val="JuPara"/>
        <w:rPr>
          <w:rStyle w:val="sb8d990e2"/>
        </w:rPr>
      </w:pPr>
      <w:r w:rsidRPr="00ED22C8">
        <w:rPr>
          <w:rStyle w:val="sb8d990e2"/>
        </w:rPr>
        <w:fldChar w:fldCharType="begin"/>
      </w:r>
      <w:r w:rsidRPr="00ED22C8">
        <w:rPr>
          <w:rStyle w:val="sb8d990e2"/>
        </w:rPr>
        <w:instrText xml:space="preserve"> SEQ level0 \*arabic </w:instrText>
      </w:r>
      <w:r w:rsidRPr="00ED22C8">
        <w:rPr>
          <w:rStyle w:val="sb8d990e2"/>
        </w:rPr>
        <w:fldChar w:fldCharType="separate"/>
      </w:r>
      <w:r w:rsidR="00E555B3">
        <w:rPr>
          <w:rStyle w:val="sb8d990e2"/>
          <w:noProof/>
        </w:rPr>
        <w:t>100</w:t>
      </w:r>
      <w:r w:rsidRPr="00ED22C8">
        <w:rPr>
          <w:rStyle w:val="sb8d990e2"/>
        </w:rPr>
        <w:fldChar w:fldCharType="end"/>
      </w:r>
      <w:r w:rsidRPr="00ED22C8">
        <w:rPr>
          <w:rStyle w:val="sb8d990e2"/>
        </w:rPr>
        <w:t>.  </w:t>
      </w:r>
      <w:r w:rsidR="005448A6" w:rsidRPr="00992002">
        <w:rPr>
          <w:rStyle w:val="sb8d990e2"/>
        </w:rPr>
        <w:t xml:space="preserve"> </w:t>
      </w:r>
      <w:r w:rsidR="006B5A3C" w:rsidRPr="00992002">
        <w:rPr>
          <w:rStyle w:val="sb8d990e2"/>
        </w:rPr>
        <w:t>A cela s</w:t>
      </w:r>
      <w:r w:rsidR="00C419B2">
        <w:rPr>
          <w:rStyle w:val="sb8d990e2"/>
        </w:rPr>
        <w:t>’</w:t>
      </w:r>
      <w:r w:rsidR="006B5A3C" w:rsidRPr="00992002">
        <w:rPr>
          <w:rStyle w:val="sb8d990e2"/>
        </w:rPr>
        <w:t>ajoute l</w:t>
      </w:r>
      <w:r w:rsidR="00C419B2">
        <w:rPr>
          <w:rStyle w:val="sb8d990e2"/>
        </w:rPr>
        <w:t>’</w:t>
      </w:r>
      <w:r w:rsidR="006B5A3C" w:rsidRPr="00992002">
        <w:rPr>
          <w:rStyle w:val="sb8d990e2"/>
        </w:rPr>
        <w:t>attitude des autorités municipales et préfectorales qui</w:t>
      </w:r>
      <w:r w:rsidR="0010706A" w:rsidRPr="00992002">
        <w:rPr>
          <w:rStyle w:val="sb8d990e2"/>
        </w:rPr>
        <w:t>,</w:t>
      </w:r>
      <w:r w:rsidR="006B5A3C" w:rsidRPr="00992002">
        <w:rPr>
          <w:rStyle w:val="sb8d990e2"/>
        </w:rPr>
        <w:t xml:space="preserve"> par crainte de susciter de nouveaux incidents de la part de la population locale hostile aux </w:t>
      </w:r>
      <w:r w:rsidR="00B275A1" w:rsidRPr="00992002">
        <w:rPr>
          <w:rStyle w:val="sb8d990e2"/>
        </w:rPr>
        <w:t>R</w:t>
      </w:r>
      <w:r w:rsidR="006B5A3C" w:rsidRPr="00992002">
        <w:rPr>
          <w:rStyle w:val="sb8d990e2"/>
        </w:rPr>
        <w:t>oms</w:t>
      </w:r>
      <w:r w:rsidR="005448A6" w:rsidRPr="00992002">
        <w:rPr>
          <w:rStyle w:val="sb8d990e2"/>
        </w:rPr>
        <w:t>,</w:t>
      </w:r>
      <w:r w:rsidR="006B5A3C" w:rsidRPr="00992002">
        <w:rPr>
          <w:rStyle w:val="sb8d990e2"/>
        </w:rPr>
        <w:t xml:space="preserve"> sont restées i</w:t>
      </w:r>
      <w:r w:rsidR="00FC5B34" w:rsidRPr="00992002">
        <w:rPr>
          <w:rStyle w:val="sb8d990e2"/>
        </w:rPr>
        <w:t>nactives face</w:t>
      </w:r>
      <w:r w:rsidR="006B5A3C" w:rsidRPr="00992002">
        <w:rPr>
          <w:rStyle w:val="sb8d990e2"/>
        </w:rPr>
        <w:t xml:space="preserve"> aux appels du directeur de l</w:t>
      </w:r>
      <w:r w:rsidR="00C419B2">
        <w:rPr>
          <w:rStyle w:val="sb8d990e2"/>
        </w:rPr>
        <w:t>’</w:t>
      </w:r>
      <w:r w:rsidR="006B5A3C" w:rsidRPr="00992002">
        <w:rPr>
          <w:rStyle w:val="sb8d990e2"/>
        </w:rPr>
        <w:t xml:space="preserve">école et du médiateur </w:t>
      </w:r>
      <w:r w:rsidR="00FC5B34" w:rsidRPr="00992002">
        <w:rPr>
          <w:rStyle w:val="sb8d990e2"/>
        </w:rPr>
        <w:t xml:space="preserve">demandant </w:t>
      </w:r>
      <w:r w:rsidR="006B5A3C" w:rsidRPr="00992002">
        <w:rPr>
          <w:rStyle w:val="sb8d990e2"/>
        </w:rPr>
        <w:t xml:space="preserve">que les élèves roms puissent </w:t>
      </w:r>
      <w:r w:rsidR="00992002" w:rsidRPr="00992002">
        <w:rPr>
          <w:rStyle w:val="sb8d990e2"/>
        </w:rPr>
        <w:t xml:space="preserve">être intégrés dans des </w:t>
      </w:r>
      <w:r w:rsidR="006B5A3C" w:rsidRPr="00992002">
        <w:rPr>
          <w:rStyle w:val="sb8d990e2"/>
        </w:rPr>
        <w:t xml:space="preserve">écoles </w:t>
      </w:r>
      <w:r w:rsidR="00992002" w:rsidRPr="00992002">
        <w:rPr>
          <w:rStyle w:val="sb8d990e2"/>
        </w:rPr>
        <w:t xml:space="preserve">ordinaires </w:t>
      </w:r>
      <w:r w:rsidR="006B5A3C" w:rsidRPr="00992002">
        <w:rPr>
          <w:rStyle w:val="sb8d990e2"/>
        </w:rPr>
        <w:t xml:space="preserve">et </w:t>
      </w:r>
      <w:r w:rsidR="00992002" w:rsidRPr="00992002">
        <w:rPr>
          <w:rStyle w:val="sb8d990e2"/>
        </w:rPr>
        <w:t xml:space="preserve">y </w:t>
      </w:r>
      <w:r w:rsidR="006B5A3C" w:rsidRPr="00992002">
        <w:rPr>
          <w:rStyle w:val="sb8d990e2"/>
        </w:rPr>
        <w:t>bénéficier de cours adaptés à leur niveau éducatif et linguistique.</w:t>
      </w:r>
    </w:p>
    <w:p w:rsidR="00F34451" w:rsidRDefault="00B558AE" w:rsidP="00076451">
      <w:pPr>
        <w:pStyle w:val="JuPara"/>
        <w:rPr>
          <w:rStyle w:val="sb8d990e2"/>
        </w:rPr>
      </w:pPr>
      <w:r w:rsidRPr="00992002">
        <w:rPr>
          <w:rStyle w:val="sb8d990e2"/>
        </w:rPr>
        <w:fldChar w:fldCharType="begin"/>
      </w:r>
      <w:r w:rsidRPr="00992002">
        <w:rPr>
          <w:rStyle w:val="sb8d990e2"/>
        </w:rPr>
        <w:instrText xml:space="preserve"> SEQ level0 \*arabic </w:instrText>
      </w:r>
      <w:r w:rsidRPr="00992002">
        <w:rPr>
          <w:rStyle w:val="sb8d990e2"/>
        </w:rPr>
        <w:fldChar w:fldCharType="separate"/>
      </w:r>
      <w:r w:rsidR="00E555B3">
        <w:rPr>
          <w:rStyle w:val="sb8d990e2"/>
          <w:noProof/>
        </w:rPr>
        <w:t>101</w:t>
      </w:r>
      <w:r w:rsidRPr="00992002">
        <w:rPr>
          <w:rStyle w:val="sb8d990e2"/>
        </w:rPr>
        <w:fldChar w:fldCharType="end"/>
      </w:r>
      <w:r w:rsidRPr="00992002">
        <w:rPr>
          <w:rStyle w:val="sb8d990e2"/>
        </w:rPr>
        <w:t>.  </w:t>
      </w:r>
      <w:r w:rsidR="00F34451" w:rsidRPr="00992002">
        <w:rPr>
          <w:rStyle w:val="sb8d990e2"/>
        </w:rPr>
        <w:t>Quant à l</w:t>
      </w:r>
      <w:r w:rsidR="00C419B2">
        <w:rPr>
          <w:rStyle w:val="sb8d990e2"/>
        </w:rPr>
        <w:t>’</w:t>
      </w:r>
      <w:r w:rsidR="00F34451" w:rsidRPr="00992002">
        <w:rPr>
          <w:rStyle w:val="sb8d990e2"/>
        </w:rPr>
        <w:t>année scolaire 2009-2010, la Cour note qu</w:t>
      </w:r>
      <w:r w:rsidR="00491F5A" w:rsidRPr="00992002">
        <w:rPr>
          <w:rStyle w:val="sb8d990e2"/>
        </w:rPr>
        <w:t>e</w:t>
      </w:r>
      <w:r w:rsidR="003C6E0C">
        <w:rPr>
          <w:rStyle w:val="sb8d990e2"/>
        </w:rPr>
        <w:t>,</w:t>
      </w:r>
      <w:r w:rsidR="00491F5A" w:rsidRPr="00992002">
        <w:rPr>
          <w:rStyle w:val="sb8d990e2"/>
        </w:rPr>
        <w:t xml:space="preserve"> </w:t>
      </w:r>
      <w:r w:rsidR="00F34451" w:rsidRPr="00992002">
        <w:rPr>
          <w:rStyle w:val="sb8d990e2"/>
        </w:rPr>
        <w:t xml:space="preserve">alors que </w:t>
      </w:r>
      <w:r w:rsidR="00491F5A" w:rsidRPr="00992002">
        <w:rPr>
          <w:rStyle w:val="sb8d990e2"/>
        </w:rPr>
        <w:t>tous les</w:t>
      </w:r>
      <w:r w:rsidR="00F34451" w:rsidRPr="00992002">
        <w:rPr>
          <w:rStyle w:val="sb8d990e2"/>
        </w:rPr>
        <w:t xml:space="preserve"> mineurs requérants</w:t>
      </w:r>
      <w:r w:rsidR="00F739AC">
        <w:rPr>
          <w:rStyle w:val="sb8d990e2"/>
        </w:rPr>
        <w:t xml:space="preserve"> sauf quatre (paragraphe 40 ci-dessus)</w:t>
      </w:r>
      <w:r w:rsidR="00F34451" w:rsidRPr="00992002">
        <w:rPr>
          <w:rStyle w:val="sb8d990e2"/>
        </w:rPr>
        <w:t xml:space="preserve"> </w:t>
      </w:r>
      <w:r w:rsidR="00B275A1" w:rsidRPr="00992002">
        <w:rPr>
          <w:rStyle w:val="sb8d990e2"/>
        </w:rPr>
        <w:t xml:space="preserve">avaient été </w:t>
      </w:r>
      <w:r w:rsidR="00F34451" w:rsidRPr="00992002">
        <w:rPr>
          <w:rStyle w:val="sb8d990e2"/>
        </w:rPr>
        <w:t>inscrits à l</w:t>
      </w:r>
      <w:r w:rsidR="00C419B2">
        <w:rPr>
          <w:rStyle w:val="sb8d990e2"/>
        </w:rPr>
        <w:t>’</w:t>
      </w:r>
      <w:r w:rsidR="00F34451" w:rsidRPr="00992002">
        <w:rPr>
          <w:rStyle w:val="sb8d990e2"/>
        </w:rPr>
        <w:t>école avec l</w:t>
      </w:r>
      <w:r w:rsidR="00C419B2">
        <w:rPr>
          <w:rStyle w:val="sb8d990e2"/>
        </w:rPr>
        <w:t>’</w:t>
      </w:r>
      <w:r w:rsidR="00F34451" w:rsidRPr="00992002">
        <w:rPr>
          <w:rStyle w:val="sb8d990e2"/>
        </w:rPr>
        <w:t>aide de leur</w:t>
      </w:r>
      <w:r w:rsidR="00F34451">
        <w:rPr>
          <w:rStyle w:val="sb8d990e2"/>
        </w:rPr>
        <w:t xml:space="preserve"> représentant devant la Cour, un grand nombre d</w:t>
      </w:r>
      <w:r w:rsidR="00C419B2">
        <w:rPr>
          <w:rStyle w:val="sb8d990e2"/>
        </w:rPr>
        <w:t>’</w:t>
      </w:r>
      <w:r w:rsidR="00F34451">
        <w:rPr>
          <w:rStyle w:val="sb8d990e2"/>
        </w:rPr>
        <w:t xml:space="preserve">entre eux </w:t>
      </w:r>
      <w:r w:rsidR="008B77E7">
        <w:rPr>
          <w:rStyle w:val="sb8d990e2"/>
        </w:rPr>
        <w:t>ont</w:t>
      </w:r>
      <w:r w:rsidR="00F34451">
        <w:rPr>
          <w:rStyle w:val="sb8d990e2"/>
        </w:rPr>
        <w:t xml:space="preserve"> </w:t>
      </w:r>
      <w:r w:rsidR="00B667E4">
        <w:rPr>
          <w:rStyle w:val="sb8d990e2"/>
        </w:rPr>
        <w:t>cessé</w:t>
      </w:r>
      <w:r w:rsidR="00491F5A">
        <w:rPr>
          <w:rStyle w:val="sb8d990e2"/>
        </w:rPr>
        <w:t xml:space="preserve"> de fréquenter </w:t>
      </w:r>
      <w:r w:rsidR="00F34451">
        <w:rPr>
          <w:rStyle w:val="sb8d990e2"/>
        </w:rPr>
        <w:t>les cours au courant de l</w:t>
      </w:r>
      <w:r w:rsidR="00C419B2">
        <w:rPr>
          <w:rStyle w:val="sb8d990e2"/>
        </w:rPr>
        <w:t>’</w:t>
      </w:r>
      <w:r w:rsidR="00F34451">
        <w:rPr>
          <w:rStyle w:val="sb8d990e2"/>
        </w:rPr>
        <w:t>année.</w:t>
      </w:r>
      <w:r w:rsidR="00A4620C">
        <w:rPr>
          <w:rStyle w:val="sb8d990e2"/>
        </w:rPr>
        <w:t xml:space="preserve"> Compte tenu de la manière dont l</w:t>
      </w:r>
      <w:r w:rsidR="00C419B2">
        <w:rPr>
          <w:rStyle w:val="sb8d990e2"/>
        </w:rPr>
        <w:t>’</w:t>
      </w:r>
      <w:r w:rsidR="00A4620C">
        <w:rPr>
          <w:rStyle w:val="sb8d990e2"/>
        </w:rPr>
        <w:t>école avait fonctionné pendant l</w:t>
      </w:r>
      <w:r w:rsidR="00C419B2">
        <w:rPr>
          <w:rStyle w:val="sb8d990e2"/>
        </w:rPr>
        <w:t>’</w:t>
      </w:r>
      <w:r w:rsidR="00A4620C">
        <w:rPr>
          <w:rStyle w:val="sb8d990e2"/>
        </w:rPr>
        <w:t>année 2008-2009</w:t>
      </w:r>
      <w:r w:rsidR="009E1346">
        <w:rPr>
          <w:rStyle w:val="sb8d990e2"/>
        </w:rPr>
        <w:t xml:space="preserve"> et de l</w:t>
      </w:r>
      <w:r w:rsidR="00C419B2">
        <w:rPr>
          <w:rStyle w:val="sb8d990e2"/>
        </w:rPr>
        <w:t>’</w:t>
      </w:r>
      <w:r w:rsidR="009E1346">
        <w:rPr>
          <w:rStyle w:val="sb8d990e2"/>
        </w:rPr>
        <w:t xml:space="preserve">absence de toute </w:t>
      </w:r>
      <w:r w:rsidR="00AD25BB">
        <w:rPr>
          <w:rStyle w:val="sb8d990e2"/>
        </w:rPr>
        <w:t>mesure par l</w:t>
      </w:r>
      <w:r w:rsidR="00C419B2">
        <w:rPr>
          <w:rStyle w:val="sb8d990e2"/>
        </w:rPr>
        <w:t>’</w:t>
      </w:r>
      <w:r w:rsidR="00AD25BB">
        <w:rPr>
          <w:rStyle w:val="sb8d990e2"/>
        </w:rPr>
        <w:t>Etat ou les autorités locales pour améliorer la situation</w:t>
      </w:r>
      <w:r w:rsidR="009E1346">
        <w:rPr>
          <w:rStyle w:val="sb8d990e2"/>
        </w:rPr>
        <w:t xml:space="preserve">, la Cour ne </w:t>
      </w:r>
      <w:r w:rsidR="008B77E7">
        <w:rPr>
          <w:rStyle w:val="sb8d990e2"/>
        </w:rPr>
        <w:t>peut</w:t>
      </w:r>
      <w:r w:rsidR="00F739AC">
        <w:rPr>
          <w:rStyle w:val="sb8d990e2"/>
        </w:rPr>
        <w:t xml:space="preserve"> pas</w:t>
      </w:r>
      <w:r w:rsidR="00AD25BB">
        <w:rPr>
          <w:rStyle w:val="sb8d990e2"/>
        </w:rPr>
        <w:t xml:space="preserve"> conclure que les élèves roms et</w:t>
      </w:r>
      <w:r w:rsidR="009E1346">
        <w:rPr>
          <w:rStyle w:val="sb8d990e2"/>
        </w:rPr>
        <w:t xml:space="preserve"> leurs parents se s</w:t>
      </w:r>
      <w:r w:rsidR="008B77E7">
        <w:rPr>
          <w:rStyle w:val="sb8d990e2"/>
        </w:rPr>
        <w:t>ont</w:t>
      </w:r>
      <w:r w:rsidR="009E1346">
        <w:rPr>
          <w:rStyle w:val="sb8d990e2"/>
        </w:rPr>
        <w:t xml:space="preserve"> simplement désintéressés de </w:t>
      </w:r>
      <w:r w:rsidR="00AD25BB">
        <w:rPr>
          <w:rStyle w:val="sb8d990e2"/>
        </w:rPr>
        <w:t>la poursuite</w:t>
      </w:r>
      <w:r w:rsidR="009E1346">
        <w:rPr>
          <w:rStyle w:val="sb8d990e2"/>
        </w:rPr>
        <w:t xml:space="preserve"> </w:t>
      </w:r>
      <w:r w:rsidR="00AD25BB">
        <w:rPr>
          <w:rStyle w:val="sb8d990e2"/>
        </w:rPr>
        <w:t xml:space="preserve">de la </w:t>
      </w:r>
      <w:r w:rsidR="009E1346">
        <w:rPr>
          <w:rStyle w:val="sb8d990e2"/>
        </w:rPr>
        <w:t>scolarité.</w:t>
      </w:r>
    </w:p>
    <w:p w:rsidR="00B136CA" w:rsidRDefault="00B558AE" w:rsidP="006C1AD8">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102</w:t>
      </w:r>
      <w:r>
        <w:rPr>
          <w:rStyle w:val="sb8d990e2"/>
        </w:rPr>
        <w:fldChar w:fldCharType="end"/>
      </w:r>
      <w:r>
        <w:rPr>
          <w:rStyle w:val="sb8d990e2"/>
        </w:rPr>
        <w:t>.  </w:t>
      </w:r>
      <w:r w:rsidR="00962D4D">
        <w:rPr>
          <w:rStyle w:val="sb8d990e2"/>
        </w:rPr>
        <w:t>Dans ces conditions et eu égard au fait qu</w:t>
      </w:r>
      <w:r w:rsidR="00C419B2">
        <w:rPr>
          <w:rStyle w:val="sb8d990e2"/>
        </w:rPr>
        <w:t>’</w:t>
      </w:r>
      <w:r w:rsidR="00962D4D">
        <w:rPr>
          <w:rStyle w:val="sb8d990e2"/>
        </w:rPr>
        <w:t>il n</w:t>
      </w:r>
      <w:r w:rsidR="00C419B2">
        <w:rPr>
          <w:rStyle w:val="sb8d990e2"/>
        </w:rPr>
        <w:t>’</w:t>
      </w:r>
      <w:r w:rsidR="00962D4D">
        <w:rPr>
          <w:rStyle w:val="sb8d990e2"/>
        </w:rPr>
        <w:t>a pas été possible d</w:t>
      </w:r>
      <w:r w:rsidR="00C419B2">
        <w:rPr>
          <w:rStyle w:val="sb8d990e2"/>
        </w:rPr>
        <w:t>’</w:t>
      </w:r>
      <w:r w:rsidR="00962D4D">
        <w:rPr>
          <w:rStyle w:val="sb8d990e2"/>
        </w:rPr>
        <w:t>inscrire dans des classes ordinaires trois élèves roms de la 12</w:t>
      </w:r>
      <w:r w:rsidR="00962D4D" w:rsidRPr="00967875">
        <w:rPr>
          <w:rStyle w:val="sb8d990e2"/>
          <w:vertAlign w:val="superscript"/>
        </w:rPr>
        <w:t>e</w:t>
      </w:r>
      <w:r w:rsidR="00962D4D">
        <w:rPr>
          <w:rStyle w:val="sb8d990e2"/>
        </w:rPr>
        <w:t xml:space="preserve"> école qui avaient le niveau suffisant pour intégrer la 10</w:t>
      </w:r>
      <w:r w:rsidR="00962D4D" w:rsidRPr="00967875">
        <w:rPr>
          <w:rStyle w:val="sb8d990e2"/>
          <w:vertAlign w:val="superscript"/>
        </w:rPr>
        <w:t>e</w:t>
      </w:r>
      <w:r w:rsidR="00B43FE4">
        <w:rPr>
          <w:rStyle w:val="sb8d990e2"/>
        </w:rPr>
        <w:t xml:space="preserve"> école (paragraphe 9</w:t>
      </w:r>
      <w:r w:rsidR="008E7E86">
        <w:rPr>
          <w:rStyle w:val="sb8d990e2"/>
        </w:rPr>
        <w:t xml:space="preserve"> ci</w:t>
      </w:r>
      <w:r w:rsidR="008E7E86">
        <w:rPr>
          <w:rStyle w:val="sb8d990e2"/>
        </w:rPr>
        <w:noBreakHyphen/>
      </w:r>
      <w:r w:rsidR="00962D4D">
        <w:rPr>
          <w:rStyle w:val="sb8d990e2"/>
        </w:rPr>
        <w:t>dessus), l</w:t>
      </w:r>
      <w:r w:rsidR="00F34451">
        <w:rPr>
          <w:rStyle w:val="sb8d990e2"/>
        </w:rPr>
        <w:t xml:space="preserve">a Cour estime </w:t>
      </w:r>
      <w:r w:rsidR="00FA471C">
        <w:rPr>
          <w:rStyle w:val="sb8d990e2"/>
        </w:rPr>
        <w:t>qu</w:t>
      </w:r>
      <w:r w:rsidR="00C419B2">
        <w:rPr>
          <w:rStyle w:val="sb8d990e2"/>
        </w:rPr>
        <w:t>’</w:t>
      </w:r>
      <w:r w:rsidR="00FA471C">
        <w:rPr>
          <w:rStyle w:val="sb8d990e2"/>
        </w:rPr>
        <w:t>il n</w:t>
      </w:r>
      <w:r w:rsidR="00C419B2">
        <w:rPr>
          <w:rStyle w:val="sb8d990e2"/>
        </w:rPr>
        <w:t>’</w:t>
      </w:r>
      <w:r w:rsidR="00FA471C">
        <w:rPr>
          <w:rStyle w:val="sb8d990e2"/>
        </w:rPr>
        <w:t xml:space="preserve">est </w:t>
      </w:r>
      <w:r w:rsidR="00F34451">
        <w:rPr>
          <w:rStyle w:val="sb8d990e2"/>
        </w:rPr>
        <w:t xml:space="preserve">pas </w:t>
      </w:r>
      <w:r w:rsidR="006C1AD8">
        <w:rPr>
          <w:rStyle w:val="sb8d990e2"/>
        </w:rPr>
        <w:t xml:space="preserve">nécessaire </w:t>
      </w:r>
      <w:r w:rsidR="00F34451">
        <w:rPr>
          <w:rStyle w:val="sb8d990e2"/>
        </w:rPr>
        <w:t>d</w:t>
      </w:r>
      <w:r w:rsidR="00C419B2">
        <w:rPr>
          <w:rStyle w:val="sb8d990e2"/>
        </w:rPr>
        <w:t>’</w:t>
      </w:r>
      <w:r w:rsidR="00F34451">
        <w:rPr>
          <w:rStyle w:val="sb8d990e2"/>
        </w:rPr>
        <w:t xml:space="preserve">examiner la situation individuelle des requérants </w:t>
      </w:r>
      <w:r>
        <w:rPr>
          <w:rStyle w:val="sb8d990e2"/>
        </w:rPr>
        <w:t xml:space="preserve">mineurs </w:t>
      </w:r>
      <w:r w:rsidR="00F34451">
        <w:rPr>
          <w:rStyle w:val="sb8d990e2"/>
        </w:rPr>
        <w:t xml:space="preserve">et de se prononcer sur </w:t>
      </w:r>
      <w:r>
        <w:rPr>
          <w:rStyle w:val="sb8d990e2"/>
        </w:rPr>
        <w:t xml:space="preserve">leur assiduité, sur </w:t>
      </w:r>
      <w:r w:rsidR="00A77283">
        <w:rPr>
          <w:rStyle w:val="sb8d990e2"/>
        </w:rPr>
        <w:t xml:space="preserve">la </w:t>
      </w:r>
      <w:r w:rsidR="00F34451">
        <w:rPr>
          <w:rStyle w:val="sb8d990e2"/>
        </w:rPr>
        <w:t>signifi</w:t>
      </w:r>
      <w:r w:rsidR="00A77283">
        <w:rPr>
          <w:rStyle w:val="sb8d990e2"/>
        </w:rPr>
        <w:t>cation des termes</w:t>
      </w:r>
      <w:r w:rsidR="00F34451">
        <w:rPr>
          <w:rStyle w:val="sb8d990e2"/>
        </w:rPr>
        <w:t xml:space="preserve"> scolarité « suffisante » ou occasionnelle »</w:t>
      </w:r>
      <w:r>
        <w:rPr>
          <w:rStyle w:val="sb8d990e2"/>
        </w:rPr>
        <w:t xml:space="preserve"> ou sur l</w:t>
      </w:r>
      <w:r w:rsidR="009C361B">
        <w:rPr>
          <w:rStyle w:val="sb8d990e2"/>
        </w:rPr>
        <w:t>e taux d</w:t>
      </w:r>
      <w:r w:rsidR="00C419B2">
        <w:rPr>
          <w:rStyle w:val="sb8d990e2"/>
        </w:rPr>
        <w:t>’</w:t>
      </w:r>
      <w:r w:rsidR="009C361B">
        <w:rPr>
          <w:rStyle w:val="sb8d990e2"/>
        </w:rPr>
        <w:t>absentéisme</w:t>
      </w:r>
      <w:r w:rsidR="00F34451">
        <w:rPr>
          <w:rStyle w:val="sb8d990e2"/>
        </w:rPr>
        <w:t>, comme le font les parties.</w:t>
      </w:r>
      <w:r w:rsidR="006C1AD8">
        <w:t xml:space="preserve"> </w:t>
      </w:r>
      <w:r w:rsidR="006E6A67">
        <w:t>Au vu de ses conclusions quant à l</w:t>
      </w:r>
      <w:r w:rsidR="00C419B2">
        <w:t>’</w:t>
      </w:r>
      <w:r w:rsidR="006E6A67">
        <w:t>année 2008-2009, la Cour n</w:t>
      </w:r>
      <w:r w:rsidR="00C419B2">
        <w:t>’</w:t>
      </w:r>
      <w:r w:rsidR="006E6A67">
        <w:t>estime pas non plus nécessaire de se pencher sur le cas des trois premiers requérants mentionnés au paragraphe 40 pour l</w:t>
      </w:r>
      <w:r w:rsidR="00C419B2">
        <w:t>’</w:t>
      </w:r>
      <w:r w:rsidR="006E6A67">
        <w:t xml:space="preserve">année 2009-2010. </w:t>
      </w:r>
      <w:r w:rsidR="00B16859">
        <w:t>Toutefois, la Cour constate qu</w:t>
      </w:r>
      <w:r w:rsidR="00C419B2">
        <w:t>’</w:t>
      </w:r>
      <w:r w:rsidR="00B16859">
        <w:t>aucun pro</w:t>
      </w:r>
      <w:r w:rsidR="006E6A67">
        <w:t>blème ne se pose pour Paraskevi Sampani qui avait terminé ses études primaires en 2008 dans une autre école.</w:t>
      </w:r>
    </w:p>
    <w:p w:rsidR="00B136CA" w:rsidRDefault="00B558AE" w:rsidP="00076451">
      <w:pPr>
        <w:pStyle w:val="JuPara"/>
        <w:rPr>
          <w:rStyle w:val="s7d2086b4"/>
        </w:rPr>
      </w:pPr>
      <w:r w:rsidRPr="00C85451">
        <w:fldChar w:fldCharType="begin"/>
      </w:r>
      <w:r w:rsidRPr="00C85451">
        <w:instrText xml:space="preserve"> SEQ level0 \*arabic </w:instrText>
      </w:r>
      <w:r w:rsidRPr="00C85451">
        <w:fldChar w:fldCharType="separate"/>
      </w:r>
      <w:r w:rsidR="00E555B3">
        <w:rPr>
          <w:noProof/>
        </w:rPr>
        <w:t>103</w:t>
      </w:r>
      <w:r w:rsidRPr="00C85451">
        <w:fldChar w:fldCharType="end"/>
      </w:r>
      <w:r w:rsidRPr="00C85451">
        <w:t>.  </w:t>
      </w:r>
      <w:r w:rsidR="008B77E7" w:rsidRPr="00C85451">
        <w:t xml:space="preserve">Il </w:t>
      </w:r>
      <w:r w:rsidR="0063372D">
        <w:t xml:space="preserve">apparaît donc </w:t>
      </w:r>
      <w:r w:rsidR="001A3877" w:rsidRPr="00C85451">
        <w:t>que</w:t>
      </w:r>
      <w:r w:rsidR="001A3877">
        <w:t xml:space="preserve"> les mesures prises pour la scolarisation des enfants roms de l</w:t>
      </w:r>
      <w:r w:rsidR="00C419B2">
        <w:t>’</w:t>
      </w:r>
      <w:r w:rsidR="001A3877">
        <w:t>aire de Psari à Aspropyrgos n</w:t>
      </w:r>
      <w:r w:rsidR="00C419B2">
        <w:t>’</w:t>
      </w:r>
      <w:r w:rsidR="001A3877">
        <w:t xml:space="preserve">étaient pas accompagnées des garanties suffisantes </w:t>
      </w:r>
      <w:r w:rsidR="00B43FE4">
        <w:t xml:space="preserve">permettant </w:t>
      </w:r>
      <w:r w:rsidR="00C85451">
        <w:t>la prise en compte suffisante par l</w:t>
      </w:r>
      <w:r w:rsidR="00C419B2">
        <w:t>’</w:t>
      </w:r>
      <w:r w:rsidR="00C85451">
        <w:t>Etat</w:t>
      </w:r>
      <w:r w:rsidR="001A3877">
        <w:t>, dans l</w:t>
      </w:r>
      <w:r w:rsidR="00C419B2">
        <w:t>’</w:t>
      </w:r>
      <w:r w:rsidR="001A3877">
        <w:t>exercice de sa marge d</w:t>
      </w:r>
      <w:r w:rsidR="00C419B2">
        <w:t>’</w:t>
      </w:r>
      <w:r w:rsidR="001A3877">
        <w:t>appréciation dans le domaine de l</w:t>
      </w:r>
      <w:r w:rsidR="00C419B2">
        <w:t>’</w:t>
      </w:r>
      <w:r w:rsidR="001A3877">
        <w:t>éducation, des besoins particuliers de ces enfants en tant que membres d</w:t>
      </w:r>
      <w:r w:rsidR="00C419B2">
        <w:t>’</w:t>
      </w:r>
      <w:r w:rsidR="001A3877">
        <w:t xml:space="preserve">un groupe défavorisé (voir, </w:t>
      </w:r>
      <w:r w:rsidR="001A3877" w:rsidRPr="001A3877">
        <w:rPr>
          <w:i/>
        </w:rPr>
        <w:t>mutatis mutandis</w:t>
      </w:r>
      <w:r w:rsidR="001A3877">
        <w:t xml:space="preserve">, </w:t>
      </w:r>
      <w:r w:rsidR="001A3877" w:rsidRPr="00172CD0">
        <w:rPr>
          <w:rStyle w:val="s7d2086b4"/>
          <w:i/>
        </w:rPr>
        <w:t>Oršuš et autres</w:t>
      </w:r>
      <w:r w:rsidR="00FA471C">
        <w:rPr>
          <w:rStyle w:val="s7d2086b4"/>
        </w:rPr>
        <w:t>,</w:t>
      </w:r>
      <w:r w:rsidR="001A3877" w:rsidRPr="00172CD0">
        <w:rPr>
          <w:rStyle w:val="s7d2086b4"/>
        </w:rPr>
        <w:t xml:space="preserve"> précité</w:t>
      </w:r>
      <w:r w:rsidR="001A3877">
        <w:rPr>
          <w:rStyle w:val="s7d2086b4"/>
        </w:rPr>
        <w:t>, §</w:t>
      </w:r>
      <w:r w:rsidR="0063372D">
        <w:rPr>
          <w:rStyle w:val="s7d2086b4"/>
        </w:rPr>
        <w:t> </w:t>
      </w:r>
      <w:r w:rsidR="001A3877">
        <w:rPr>
          <w:rStyle w:val="s7d2086b4"/>
        </w:rPr>
        <w:t>182).</w:t>
      </w:r>
      <w:r w:rsidR="0063372D">
        <w:rPr>
          <w:rStyle w:val="s7d2086b4"/>
        </w:rPr>
        <w:t xml:space="preserve"> En outre, la Cour ne peut que constater qu</w:t>
      </w:r>
      <w:r w:rsidR="0029342D">
        <w:rPr>
          <w:rStyle w:val="s7d2086b4"/>
        </w:rPr>
        <w:t>e</w:t>
      </w:r>
      <w:r w:rsidR="0063372D">
        <w:rPr>
          <w:rStyle w:val="s7d2086b4"/>
        </w:rPr>
        <w:t xml:space="preserve"> le Gouvernement ne fournit pas d</w:t>
      </w:r>
      <w:r w:rsidR="00C419B2">
        <w:rPr>
          <w:rStyle w:val="s7d2086b4"/>
        </w:rPr>
        <w:t>’</w:t>
      </w:r>
      <w:r w:rsidR="0063372D">
        <w:rPr>
          <w:rStyle w:val="s7d2086b4"/>
        </w:rPr>
        <w:t>explication convaincante sur les raisons pour lesquelles aucun élève non rom n</w:t>
      </w:r>
      <w:r w:rsidR="00C419B2">
        <w:rPr>
          <w:rStyle w:val="s7d2086b4"/>
        </w:rPr>
        <w:t>’</w:t>
      </w:r>
      <w:r w:rsidR="0063372D">
        <w:rPr>
          <w:rStyle w:val="s7d2086b4"/>
        </w:rPr>
        <w:t>était scolarisé à la 12</w:t>
      </w:r>
      <w:r w:rsidR="0063372D" w:rsidRPr="0063372D">
        <w:rPr>
          <w:rStyle w:val="s7d2086b4"/>
          <w:vertAlign w:val="superscript"/>
        </w:rPr>
        <w:t>e</w:t>
      </w:r>
      <w:r w:rsidR="0063372D">
        <w:rPr>
          <w:rStyle w:val="s7d2086b4"/>
        </w:rPr>
        <w:t xml:space="preserve"> école, </w:t>
      </w:r>
      <w:r w:rsidR="0029342D">
        <w:rPr>
          <w:rStyle w:val="s7d2086b4"/>
        </w:rPr>
        <w:t xml:space="preserve">à </w:t>
      </w:r>
      <w:r w:rsidR="0063372D">
        <w:rPr>
          <w:rStyle w:val="s7d2086b4"/>
        </w:rPr>
        <w:t xml:space="preserve">part une vague mention </w:t>
      </w:r>
      <w:r w:rsidR="0029342D">
        <w:rPr>
          <w:rStyle w:val="s7d2086b4"/>
        </w:rPr>
        <w:t xml:space="preserve">au fait </w:t>
      </w:r>
      <w:r w:rsidR="0063372D">
        <w:rPr>
          <w:rStyle w:val="s7d2086b4"/>
        </w:rPr>
        <w:t>qu</w:t>
      </w:r>
      <w:r w:rsidR="00C419B2">
        <w:rPr>
          <w:rStyle w:val="s7d2086b4"/>
        </w:rPr>
        <w:t>’</w:t>
      </w:r>
      <w:r w:rsidR="0063372D">
        <w:rPr>
          <w:rStyle w:val="s7d2086b4"/>
        </w:rPr>
        <w:t>ils étaient « </w:t>
      </w:r>
      <w:r w:rsidR="0029342D">
        <w:rPr>
          <w:rStyle w:val="s7d2086b4"/>
        </w:rPr>
        <w:t>insc</w:t>
      </w:r>
      <w:r w:rsidR="0063372D">
        <w:rPr>
          <w:rStyle w:val="s7d2086b4"/>
        </w:rPr>
        <w:t>rits ailleurs ».</w:t>
      </w:r>
    </w:p>
    <w:p w:rsidR="00B558AE" w:rsidRDefault="00B558AE" w:rsidP="00076451">
      <w:pPr>
        <w:pStyle w:val="JuPara"/>
        <w:rPr>
          <w:rStyle w:val="s7d2086b4"/>
        </w:rPr>
      </w:pPr>
      <w:r>
        <w:rPr>
          <w:rStyle w:val="s7d2086b4"/>
        </w:rPr>
        <w:fldChar w:fldCharType="begin"/>
      </w:r>
      <w:r>
        <w:rPr>
          <w:rStyle w:val="s7d2086b4"/>
        </w:rPr>
        <w:instrText xml:space="preserve"> SEQ level0 \*arabic </w:instrText>
      </w:r>
      <w:r>
        <w:rPr>
          <w:rStyle w:val="s7d2086b4"/>
        </w:rPr>
        <w:fldChar w:fldCharType="separate"/>
      </w:r>
      <w:r w:rsidR="00E555B3">
        <w:rPr>
          <w:rStyle w:val="s7d2086b4"/>
          <w:noProof/>
        </w:rPr>
        <w:t>104</w:t>
      </w:r>
      <w:r>
        <w:rPr>
          <w:rStyle w:val="s7d2086b4"/>
        </w:rPr>
        <w:fldChar w:fldCharType="end"/>
      </w:r>
      <w:r>
        <w:rPr>
          <w:rStyle w:val="s7d2086b4"/>
        </w:rPr>
        <w:t xml:space="preserve">.  La Cour considère </w:t>
      </w:r>
      <w:r w:rsidR="009D1C35">
        <w:rPr>
          <w:rStyle w:val="s7d2086b4"/>
        </w:rPr>
        <w:t>que</w:t>
      </w:r>
      <w:r w:rsidR="00FA471C">
        <w:rPr>
          <w:rStyle w:val="s7d2086b4"/>
        </w:rPr>
        <w:t>,</w:t>
      </w:r>
      <w:r w:rsidR="009D1C35">
        <w:rPr>
          <w:rStyle w:val="s7d2086b4"/>
        </w:rPr>
        <w:t xml:space="preserve"> dans les circonstances de la présente </w:t>
      </w:r>
      <w:r>
        <w:rPr>
          <w:rStyle w:val="s7d2086b4"/>
        </w:rPr>
        <w:t xml:space="preserve">espèce, </w:t>
      </w:r>
      <w:r w:rsidR="00A4620C">
        <w:rPr>
          <w:rStyle w:val="s7d2086b4"/>
        </w:rPr>
        <w:t>les conditions dans lesquelles la 12</w:t>
      </w:r>
      <w:r w:rsidR="00A4620C" w:rsidRPr="00A4620C">
        <w:rPr>
          <w:rStyle w:val="s7d2086b4"/>
          <w:vertAlign w:val="superscript"/>
        </w:rPr>
        <w:t>e</w:t>
      </w:r>
      <w:r w:rsidR="00CB71D8">
        <w:rPr>
          <w:rStyle w:val="s7d2086b4"/>
        </w:rPr>
        <w:t> </w:t>
      </w:r>
      <w:r w:rsidR="00A4620C">
        <w:rPr>
          <w:rStyle w:val="s7d2086b4"/>
        </w:rPr>
        <w:t xml:space="preserve">école a fonctionné </w:t>
      </w:r>
      <w:r w:rsidR="009E1346">
        <w:rPr>
          <w:rStyle w:val="s7d2086b4"/>
        </w:rPr>
        <w:t xml:space="preserve">pendant les années scolaires 2008-2009 et 2009-2010 </w:t>
      </w:r>
      <w:r w:rsidR="00950D0E">
        <w:rPr>
          <w:rStyle w:val="s7d2086b4"/>
        </w:rPr>
        <w:t>ont en définitive eu pour résultat de discriminer</w:t>
      </w:r>
      <w:r w:rsidR="00DC7E95">
        <w:rPr>
          <w:rStyle w:val="s7d2086b4"/>
        </w:rPr>
        <w:t xml:space="preserve"> une nouvelle fois les requérants</w:t>
      </w:r>
      <w:r w:rsidR="00950D0E">
        <w:rPr>
          <w:rStyle w:val="s7d2086b4"/>
        </w:rPr>
        <w:t>.</w:t>
      </w:r>
    </w:p>
    <w:p w:rsidR="00950D0E" w:rsidRDefault="00B16859" w:rsidP="00076451">
      <w:pPr>
        <w:pStyle w:val="JuPara"/>
        <w:rPr>
          <w:rStyle w:val="s7d2086b4"/>
        </w:rPr>
      </w:pPr>
      <w:r>
        <w:rPr>
          <w:rStyle w:val="s7d2086b4"/>
        </w:rPr>
        <w:fldChar w:fldCharType="begin"/>
      </w:r>
      <w:r>
        <w:rPr>
          <w:rStyle w:val="s7d2086b4"/>
        </w:rPr>
        <w:instrText xml:space="preserve"> SEQ level0 \*arabic </w:instrText>
      </w:r>
      <w:r>
        <w:rPr>
          <w:rStyle w:val="s7d2086b4"/>
        </w:rPr>
        <w:fldChar w:fldCharType="separate"/>
      </w:r>
      <w:r w:rsidR="00E555B3">
        <w:rPr>
          <w:rStyle w:val="s7d2086b4"/>
          <w:noProof/>
        </w:rPr>
        <w:t>105</w:t>
      </w:r>
      <w:r>
        <w:rPr>
          <w:rStyle w:val="s7d2086b4"/>
        </w:rPr>
        <w:fldChar w:fldCharType="end"/>
      </w:r>
      <w:r>
        <w:rPr>
          <w:rStyle w:val="s7d2086b4"/>
        </w:rPr>
        <w:t>.  </w:t>
      </w:r>
      <w:r w:rsidR="00950D0E">
        <w:rPr>
          <w:rStyle w:val="s7d2086b4"/>
        </w:rPr>
        <w:t>Partant, il y a eu violation de l</w:t>
      </w:r>
      <w:r w:rsidR="00C419B2">
        <w:rPr>
          <w:rStyle w:val="s7d2086b4"/>
        </w:rPr>
        <w:t>’</w:t>
      </w:r>
      <w:r w:rsidR="00950D0E">
        <w:rPr>
          <w:rStyle w:val="s7d2086b4"/>
        </w:rPr>
        <w:t>article 14 de la Convention combiné avec l</w:t>
      </w:r>
      <w:r w:rsidR="00C419B2">
        <w:rPr>
          <w:rStyle w:val="s7d2086b4"/>
        </w:rPr>
        <w:t>’</w:t>
      </w:r>
      <w:r w:rsidR="00950D0E">
        <w:rPr>
          <w:rStyle w:val="s7d2086b4"/>
        </w:rPr>
        <w:t>article 2 du Protocole n</w:t>
      </w:r>
      <w:r w:rsidR="009202F2" w:rsidRPr="009202F2">
        <w:rPr>
          <w:rStyle w:val="s7d2086b4"/>
          <w:vertAlign w:val="superscript"/>
        </w:rPr>
        <w:t>o</w:t>
      </w:r>
      <w:r w:rsidR="00950D0E">
        <w:rPr>
          <w:rStyle w:val="s7d2086b4"/>
        </w:rPr>
        <w:t xml:space="preserve"> 1 dans le chef des requérants.</w:t>
      </w:r>
    </w:p>
    <w:p w:rsidR="00EC6427" w:rsidRPr="000E496D" w:rsidRDefault="00733819">
      <w:pPr>
        <w:pStyle w:val="JuHIRoman"/>
      </w:pPr>
      <w:r>
        <w:t>II</w:t>
      </w:r>
      <w:r w:rsidR="00EC6427" w:rsidRPr="000E496D">
        <w:t>.  SUR LA VIOLATION ALLÉGUÉE DE L</w:t>
      </w:r>
      <w:r w:rsidR="00C419B2">
        <w:t>’</w:t>
      </w:r>
      <w:r w:rsidR="00EC6427" w:rsidRPr="000E496D">
        <w:t xml:space="preserve">ARTICLE </w:t>
      </w:r>
      <w:r>
        <w:t>13</w:t>
      </w:r>
      <w:r w:rsidR="00AD71DC" w:rsidRPr="000E496D">
        <w:t xml:space="preserve"> </w:t>
      </w:r>
      <w:r w:rsidR="00EC6427" w:rsidRPr="000E496D">
        <w:t>DE LA CONVENTION</w:t>
      </w:r>
    </w:p>
    <w:p w:rsidR="00EC4B91" w:rsidRDefault="000E496D" w:rsidP="00EC4B91">
      <w:pPr>
        <w:pStyle w:val="JuPara"/>
      </w:pPr>
      <w:r w:rsidRPr="000E496D">
        <w:fldChar w:fldCharType="begin"/>
      </w:r>
      <w:r w:rsidRPr="000E496D">
        <w:instrText xml:space="preserve"> SEQ level0 \*arabic </w:instrText>
      </w:r>
      <w:r w:rsidRPr="000E496D">
        <w:fldChar w:fldCharType="separate"/>
      </w:r>
      <w:r w:rsidR="00E555B3">
        <w:rPr>
          <w:noProof/>
        </w:rPr>
        <w:t>106</w:t>
      </w:r>
      <w:r w:rsidRPr="000E496D">
        <w:fldChar w:fldCharType="end"/>
      </w:r>
      <w:r w:rsidR="00EC6427" w:rsidRPr="000E496D">
        <w:t>.  </w:t>
      </w:r>
      <w:r w:rsidRPr="000E496D">
        <w:t>Les requérants</w:t>
      </w:r>
      <w:r w:rsidR="004932DA" w:rsidRPr="000E496D">
        <w:t xml:space="preserve"> </w:t>
      </w:r>
      <w:r w:rsidR="00EC4B91">
        <w:t>se plaignent de l</w:t>
      </w:r>
      <w:r w:rsidR="00C419B2">
        <w:t>’</w:t>
      </w:r>
      <w:r w:rsidR="00EC4B91">
        <w:t>absence d</w:t>
      </w:r>
      <w:r w:rsidR="00C419B2">
        <w:t>’</w:t>
      </w:r>
      <w:r w:rsidR="00EC4B91">
        <w:t xml:space="preserve">un recours effectif au travers duquel ils auraient pu formuler leurs griefs </w:t>
      </w:r>
      <w:r w:rsidR="00C85451">
        <w:t>sur le terrain</w:t>
      </w:r>
      <w:r w:rsidR="00EC4B91">
        <w:t xml:space="preserve"> de </w:t>
      </w:r>
      <w:r w:rsidR="00C85451">
        <w:t>l</w:t>
      </w:r>
      <w:r w:rsidR="00C419B2">
        <w:t>’</w:t>
      </w:r>
      <w:r w:rsidR="00C85451">
        <w:t>article </w:t>
      </w:r>
      <w:r w:rsidR="00EC4B91">
        <w:t xml:space="preserve">14 </w:t>
      </w:r>
      <w:r w:rsidR="00EC4B91" w:rsidRPr="00704CB3">
        <w:t>de la Convention</w:t>
      </w:r>
      <w:r w:rsidR="00EC4B91">
        <w:t xml:space="preserve"> combiné avec l</w:t>
      </w:r>
      <w:r w:rsidR="00C419B2">
        <w:t>’</w:t>
      </w:r>
      <w:r w:rsidR="00EC4B91">
        <w:t>article 2 du Protocole n</w:t>
      </w:r>
      <w:r w:rsidR="009202F2" w:rsidRPr="009202F2">
        <w:rPr>
          <w:vertAlign w:val="superscript"/>
        </w:rPr>
        <w:t>o</w:t>
      </w:r>
      <w:r w:rsidR="00EC4B91">
        <w:t xml:space="preserve"> 1</w:t>
      </w:r>
      <w:r w:rsidR="00666BF6">
        <w:t xml:space="preserve"> à la Convention</w:t>
      </w:r>
      <w:r w:rsidR="00EC4B91">
        <w:t>.</w:t>
      </w:r>
    </w:p>
    <w:p w:rsidR="0090368C" w:rsidRPr="00ED565D" w:rsidRDefault="0065100D" w:rsidP="0090368C">
      <w:pPr>
        <w:pStyle w:val="JuPara"/>
      </w:pPr>
      <w:r>
        <w:fldChar w:fldCharType="begin"/>
      </w:r>
      <w:r>
        <w:instrText xml:space="preserve"> SEQ level0 \*arabic </w:instrText>
      </w:r>
      <w:r>
        <w:fldChar w:fldCharType="separate"/>
      </w:r>
      <w:r w:rsidR="00E555B3">
        <w:rPr>
          <w:noProof/>
        </w:rPr>
        <w:t>107</w:t>
      </w:r>
      <w:r>
        <w:fldChar w:fldCharType="end"/>
      </w:r>
      <w:r>
        <w:t>.  </w:t>
      </w:r>
      <w:r w:rsidR="0090368C" w:rsidRPr="00141401">
        <w:t xml:space="preserve">La Cour constate que </w:t>
      </w:r>
      <w:r w:rsidR="0090368C">
        <w:t>ce</w:t>
      </w:r>
      <w:r w:rsidR="0090368C" w:rsidRPr="00141401">
        <w:rPr>
          <w:rStyle w:val="JuParaCar"/>
        </w:rPr>
        <w:t xml:space="preserve"> grief </w:t>
      </w:r>
      <w:r w:rsidR="0090368C" w:rsidRPr="00141401">
        <w:t>n</w:t>
      </w:r>
      <w:r w:rsidR="00C419B2">
        <w:t>’</w:t>
      </w:r>
      <w:r w:rsidR="0090368C">
        <w:t>est pas manifestement mal fondé</w:t>
      </w:r>
      <w:r w:rsidR="0090368C" w:rsidRPr="00141401">
        <w:t xml:space="preserve"> au sens de l</w:t>
      </w:r>
      <w:r w:rsidR="00C419B2">
        <w:t>’</w:t>
      </w:r>
      <w:r w:rsidR="0090368C" w:rsidRPr="00141401">
        <w:t xml:space="preserve">article 35 § 3 a) de la Convention. </w:t>
      </w:r>
      <w:r w:rsidR="00B11620">
        <w:t>Elle</w:t>
      </w:r>
      <w:r w:rsidR="0090368C" w:rsidRPr="00141401">
        <w:t xml:space="preserve"> relève par ailleurs qu</w:t>
      </w:r>
      <w:r w:rsidR="00C419B2">
        <w:t>’</w:t>
      </w:r>
      <w:r>
        <w:t>il</w:t>
      </w:r>
      <w:r w:rsidR="0090368C" w:rsidRPr="00141401">
        <w:t xml:space="preserve"> ne se heurte à aucun autre motif d</w:t>
      </w:r>
      <w:r w:rsidR="00C419B2">
        <w:t>’</w:t>
      </w:r>
      <w:r w:rsidR="0090368C" w:rsidRPr="00141401">
        <w:t>irrece</w:t>
      </w:r>
      <w:r>
        <w:t>vabilité. Il convient donc de le</w:t>
      </w:r>
      <w:r w:rsidR="0090368C" w:rsidRPr="00141401">
        <w:t xml:space="preserve"> déclarer </w:t>
      </w:r>
      <w:r w:rsidR="0090368C" w:rsidRPr="00ED565D">
        <w:t>recevable.</w:t>
      </w:r>
    </w:p>
    <w:p w:rsidR="00EC6427" w:rsidRPr="00ED565D" w:rsidRDefault="00EC4B91">
      <w:pPr>
        <w:pStyle w:val="JuPara"/>
      </w:pPr>
      <w:r w:rsidRPr="00ED565D">
        <w:fldChar w:fldCharType="begin"/>
      </w:r>
      <w:r w:rsidRPr="00ED565D">
        <w:instrText xml:space="preserve"> SEQ level0 \*arabic </w:instrText>
      </w:r>
      <w:r w:rsidRPr="00ED565D">
        <w:fldChar w:fldCharType="separate"/>
      </w:r>
      <w:r w:rsidR="00E555B3">
        <w:rPr>
          <w:noProof/>
        </w:rPr>
        <w:t>108</w:t>
      </w:r>
      <w:r w:rsidRPr="00ED565D">
        <w:fldChar w:fldCharType="end"/>
      </w:r>
      <w:r w:rsidRPr="00ED565D">
        <w:t>.  C</w:t>
      </w:r>
      <w:r w:rsidR="00AF3570" w:rsidRPr="00ED565D">
        <w:t xml:space="preserve">ependant, </w:t>
      </w:r>
      <w:r w:rsidR="00ED565D" w:rsidRPr="00ED565D">
        <w:t xml:space="preserve">la Cour estime, </w:t>
      </w:r>
      <w:r w:rsidR="00AF3570" w:rsidRPr="00ED565D">
        <w:t>c</w:t>
      </w:r>
      <w:r w:rsidRPr="00ED565D">
        <w:t>ompte tenu de ses conclusions relatives à l</w:t>
      </w:r>
      <w:r w:rsidR="00C419B2">
        <w:t>’</w:t>
      </w:r>
      <w:r w:rsidRPr="00ED565D">
        <w:t xml:space="preserve">exception de non-épuisement des voies de recours internes, </w:t>
      </w:r>
      <w:r w:rsidR="00B11620" w:rsidRPr="00ED565D">
        <w:t>qu</w:t>
      </w:r>
      <w:r w:rsidR="00C419B2">
        <w:t>’</w:t>
      </w:r>
      <w:r w:rsidR="00B11620" w:rsidRPr="00ED565D">
        <w:t xml:space="preserve">il </w:t>
      </w:r>
      <w:r w:rsidR="00ED565D" w:rsidRPr="00ED565D">
        <w:t>n</w:t>
      </w:r>
      <w:r w:rsidR="00C419B2">
        <w:t>’</w:t>
      </w:r>
      <w:r w:rsidR="00ED565D" w:rsidRPr="00ED565D">
        <w:t xml:space="preserve">y a pas lieu </w:t>
      </w:r>
      <w:r w:rsidRPr="00ED565D">
        <w:t>d</w:t>
      </w:r>
      <w:r w:rsidR="00C419B2">
        <w:t>’</w:t>
      </w:r>
      <w:r w:rsidRPr="00ED565D">
        <w:t xml:space="preserve">examiner </w:t>
      </w:r>
      <w:r w:rsidR="00B16859">
        <w:t xml:space="preserve">séparément </w:t>
      </w:r>
      <w:r w:rsidRPr="00ED565D">
        <w:t>ce grief.</w:t>
      </w:r>
    </w:p>
    <w:p w:rsidR="00EC6427" w:rsidRPr="000E496D" w:rsidRDefault="00733819">
      <w:pPr>
        <w:pStyle w:val="JuHIRoman"/>
      </w:pPr>
      <w:r w:rsidRPr="00ED565D">
        <w:t>I</w:t>
      </w:r>
      <w:r w:rsidR="00AF3570" w:rsidRPr="00ED565D">
        <w:t>II</w:t>
      </w:r>
      <w:r w:rsidR="00EC6427" w:rsidRPr="00ED565D">
        <w:t>.  SUR LES AUTRES VIOLATIONS ALLÉGUÉES</w:t>
      </w:r>
    </w:p>
    <w:p w:rsidR="00EC4B91" w:rsidRDefault="00EC4B91" w:rsidP="00EC4B91">
      <w:pPr>
        <w:pStyle w:val="JuPara"/>
      </w:pPr>
      <w:r>
        <w:fldChar w:fldCharType="begin"/>
      </w:r>
      <w:r>
        <w:instrText xml:space="preserve"> SEQ level0 \*arabic </w:instrText>
      </w:r>
      <w:r>
        <w:fldChar w:fldCharType="separate"/>
      </w:r>
      <w:r w:rsidR="00E555B3">
        <w:rPr>
          <w:noProof/>
        </w:rPr>
        <w:t>109</w:t>
      </w:r>
      <w:r>
        <w:fldChar w:fldCharType="end"/>
      </w:r>
      <w:r>
        <w:t>.  </w:t>
      </w:r>
      <w:r w:rsidRPr="00704CB3">
        <w:t>Invoquant l</w:t>
      </w:r>
      <w:r w:rsidR="00C419B2">
        <w:t>’</w:t>
      </w:r>
      <w:r w:rsidRPr="00704CB3">
        <w:t xml:space="preserve">article </w:t>
      </w:r>
      <w:r>
        <w:t>34</w:t>
      </w:r>
      <w:r w:rsidRPr="00704CB3">
        <w:t xml:space="preserve"> de la Convention, les</w:t>
      </w:r>
      <w:r>
        <w:t xml:space="preserve"> requérants se plaignent </w:t>
      </w:r>
      <w:r w:rsidR="00AF3570">
        <w:t>de n</w:t>
      </w:r>
      <w:r w:rsidR="00C419B2">
        <w:t>’</w:t>
      </w:r>
      <w:r w:rsidR="00AF3570">
        <w:t>avoir aucun</w:t>
      </w:r>
      <w:r>
        <w:t xml:space="preserve"> accès à tous les documents officiels concernant leur école. </w:t>
      </w:r>
      <w:r w:rsidR="00AF3570">
        <w:t>Invoquant</w:t>
      </w:r>
      <w:r w:rsidRPr="00704CB3">
        <w:t xml:space="preserve"> l</w:t>
      </w:r>
      <w:r w:rsidR="00C419B2">
        <w:t>’</w:t>
      </w:r>
      <w:r w:rsidRPr="00704CB3">
        <w:t xml:space="preserve">article </w:t>
      </w:r>
      <w:r>
        <w:t>46</w:t>
      </w:r>
      <w:r w:rsidRPr="00704CB3">
        <w:t xml:space="preserve"> de la Convention, </w:t>
      </w:r>
      <w:r>
        <w:t>ils se plaignent aussi d</w:t>
      </w:r>
      <w:r w:rsidR="00C419B2">
        <w:t>’</w:t>
      </w:r>
      <w:r w:rsidR="00A31E11">
        <w:t>un</w:t>
      </w:r>
      <w:r>
        <w:t xml:space="preserve"> refus des autorités de se conformer à l</w:t>
      </w:r>
      <w:r w:rsidR="00C419B2">
        <w:t>’</w:t>
      </w:r>
      <w:r>
        <w:t xml:space="preserve">arrêt </w:t>
      </w:r>
      <w:r w:rsidRPr="00D47D2B">
        <w:rPr>
          <w:i/>
        </w:rPr>
        <w:t>Sampanis et autres c. Grèce</w:t>
      </w:r>
      <w:r>
        <w:t xml:space="preserve"> </w:t>
      </w:r>
      <w:r w:rsidR="00A31E11">
        <w:t>(</w:t>
      </w:r>
      <w:r>
        <w:t>précité</w:t>
      </w:r>
      <w:r w:rsidR="00A31E11">
        <w:t>)</w:t>
      </w:r>
      <w:r>
        <w:t>.</w:t>
      </w:r>
    </w:p>
    <w:p w:rsidR="00617A32" w:rsidRDefault="00617A32" w:rsidP="00617A32">
      <w:pPr>
        <w:pStyle w:val="JuPara"/>
      </w:pPr>
      <w:r>
        <w:fldChar w:fldCharType="begin"/>
      </w:r>
      <w:r>
        <w:instrText xml:space="preserve"> SEQ level0 \*arabic </w:instrText>
      </w:r>
      <w:r>
        <w:fldChar w:fldCharType="separate"/>
      </w:r>
      <w:r w:rsidR="00E555B3">
        <w:rPr>
          <w:noProof/>
        </w:rPr>
        <w:t>110</w:t>
      </w:r>
      <w:r>
        <w:fldChar w:fldCharType="end"/>
      </w:r>
      <w:r>
        <w:t>.  </w:t>
      </w:r>
      <w:r w:rsidR="00A31E11">
        <w:t>S</w:t>
      </w:r>
      <w:r w:rsidR="00C419B2">
        <w:t>’</w:t>
      </w:r>
      <w:r w:rsidR="00A31E11">
        <w:t>agissant du</w:t>
      </w:r>
      <w:r w:rsidR="00E4314A">
        <w:t xml:space="preserve"> premier grief, la Cour </w:t>
      </w:r>
      <w:r>
        <w:t>estime qu</w:t>
      </w:r>
      <w:r w:rsidR="00C419B2">
        <w:t>’</w:t>
      </w:r>
      <w:r>
        <w:t>il n</w:t>
      </w:r>
      <w:r w:rsidR="00C419B2">
        <w:t>’</w:t>
      </w:r>
      <w:r>
        <w:t xml:space="preserve">est pas étayé et </w:t>
      </w:r>
      <w:r w:rsidR="00A31E11">
        <w:t>qu</w:t>
      </w:r>
      <w:r w:rsidR="00C419B2">
        <w:t>’</w:t>
      </w:r>
      <w:r w:rsidR="00A31E11">
        <w:t xml:space="preserve">il </w:t>
      </w:r>
      <w:r>
        <w:t xml:space="preserve">ne suffit pas à établir en quoi </w:t>
      </w:r>
      <w:r w:rsidR="00A31E11">
        <w:t xml:space="preserve">les requérants </w:t>
      </w:r>
      <w:r>
        <w:t xml:space="preserve">ont été empêchés </w:t>
      </w:r>
      <w:r w:rsidR="00397D3A">
        <w:t>d</w:t>
      </w:r>
      <w:r w:rsidR="00C419B2">
        <w:t>’</w:t>
      </w:r>
      <w:r>
        <w:t>exerc</w:t>
      </w:r>
      <w:r w:rsidR="00397D3A">
        <w:t>er</w:t>
      </w:r>
      <w:r>
        <w:t xml:space="preserve"> leur droit de recours individuel.</w:t>
      </w:r>
    </w:p>
    <w:p w:rsidR="00F46320" w:rsidRDefault="00617A32" w:rsidP="00EC4B91">
      <w:pPr>
        <w:pStyle w:val="JuPara"/>
      </w:pPr>
      <w:r>
        <w:fldChar w:fldCharType="begin"/>
      </w:r>
      <w:r>
        <w:instrText xml:space="preserve"> SEQ level0 \*arabic </w:instrText>
      </w:r>
      <w:r>
        <w:fldChar w:fldCharType="separate"/>
      </w:r>
      <w:r w:rsidR="00E555B3">
        <w:rPr>
          <w:noProof/>
        </w:rPr>
        <w:t>111</w:t>
      </w:r>
      <w:r>
        <w:fldChar w:fldCharType="end"/>
      </w:r>
      <w:r>
        <w:t>.  </w:t>
      </w:r>
      <w:r w:rsidR="00A31E11">
        <w:t>S</w:t>
      </w:r>
      <w:r w:rsidR="00C419B2">
        <w:t>’</w:t>
      </w:r>
      <w:r w:rsidR="00A31E11">
        <w:t>agissant du</w:t>
      </w:r>
      <w:r>
        <w:t xml:space="preserve"> deuxième</w:t>
      </w:r>
      <w:r w:rsidR="00A31E11">
        <w:t xml:space="preserve"> grief</w:t>
      </w:r>
      <w:r>
        <w:t xml:space="preserve">, la Cour </w:t>
      </w:r>
      <w:r w:rsidR="002759FA">
        <w:t xml:space="preserve">rappelle </w:t>
      </w:r>
      <w:r w:rsidR="00BC7EF7">
        <w:t>que l</w:t>
      </w:r>
      <w:r w:rsidR="00C419B2">
        <w:t>’</w:t>
      </w:r>
      <w:r w:rsidR="00BC7EF7">
        <w:t>Etat défendeur reste libre, sous le contrôle du Comité des Ministres, de choisir les moyens de s</w:t>
      </w:r>
      <w:r w:rsidR="00C419B2">
        <w:t>’</w:t>
      </w:r>
      <w:r w:rsidR="00BC7EF7">
        <w:t>acquitter de son obligation juridique au regard de l</w:t>
      </w:r>
      <w:r w:rsidR="00C419B2">
        <w:t>’</w:t>
      </w:r>
      <w:r w:rsidR="008E7E86">
        <w:t xml:space="preserve">article </w:t>
      </w:r>
      <w:r w:rsidR="00BC7EF7">
        <w:t>46 de la Convention pour autant que ces moyens soient compatibles avec les conclusions contenues dans l</w:t>
      </w:r>
      <w:r w:rsidR="00C419B2">
        <w:t>’</w:t>
      </w:r>
      <w:r w:rsidR="00BC7EF7">
        <w:t>arrêt de la Cour.</w:t>
      </w:r>
      <w:r w:rsidR="00D9179E">
        <w:t xml:space="preserve"> Pour sa part, la Cour ne saurait assumer aucun rôle dans ce dialogue. Dès lors, elle ne saurait estimer qu</w:t>
      </w:r>
      <w:r w:rsidR="00C419B2">
        <w:t>’</w:t>
      </w:r>
      <w:r w:rsidR="00D9179E">
        <w:t>un Etat a enfreint la Convention parce qu</w:t>
      </w:r>
      <w:r w:rsidR="00C419B2">
        <w:t>’</w:t>
      </w:r>
      <w:r w:rsidR="00D9179E">
        <w:t>il n</w:t>
      </w:r>
      <w:r w:rsidR="00C419B2">
        <w:t>’</w:t>
      </w:r>
      <w:r w:rsidR="00D9179E">
        <w:t>a pas pris l</w:t>
      </w:r>
      <w:r w:rsidR="00C419B2">
        <w:t>’</w:t>
      </w:r>
      <w:r w:rsidR="00D9179E">
        <w:t>une ou l</w:t>
      </w:r>
      <w:r w:rsidR="00C419B2">
        <w:t>’</w:t>
      </w:r>
      <w:r w:rsidR="00D9179E">
        <w:t>autre de ces mesures dans le cadre de l</w:t>
      </w:r>
      <w:r w:rsidR="00C419B2">
        <w:t>’</w:t>
      </w:r>
      <w:r w:rsidR="00D9179E">
        <w:t>exécution d</w:t>
      </w:r>
      <w:r w:rsidR="00C419B2">
        <w:t>’</w:t>
      </w:r>
      <w:r w:rsidR="00D9179E">
        <w:t>un de ses arrêts. En outre, la Cour</w:t>
      </w:r>
      <w:r w:rsidR="002759FA">
        <w:rPr>
          <w:sz w:val="23"/>
          <w:szCs w:val="23"/>
        </w:rPr>
        <w:t xml:space="preserve"> n</w:t>
      </w:r>
      <w:r w:rsidR="00C419B2">
        <w:rPr>
          <w:sz w:val="23"/>
          <w:szCs w:val="23"/>
        </w:rPr>
        <w:t>’</w:t>
      </w:r>
      <w:r w:rsidR="002759FA">
        <w:rPr>
          <w:sz w:val="23"/>
          <w:szCs w:val="23"/>
        </w:rPr>
        <w:t>a pas compétence pour examiner si une Partie contractante s</w:t>
      </w:r>
      <w:r w:rsidR="00C419B2">
        <w:rPr>
          <w:sz w:val="23"/>
          <w:szCs w:val="23"/>
        </w:rPr>
        <w:t>’</w:t>
      </w:r>
      <w:r w:rsidR="002759FA">
        <w:rPr>
          <w:sz w:val="23"/>
          <w:szCs w:val="23"/>
        </w:rPr>
        <w:t xml:space="preserve">est conformée aux obligations que lui impose un de ses arrêts. </w:t>
      </w:r>
      <w:r w:rsidR="000059E3">
        <w:rPr>
          <w:sz w:val="23"/>
          <w:szCs w:val="23"/>
        </w:rPr>
        <w:t>Elle a alors refusé d</w:t>
      </w:r>
      <w:r w:rsidR="00C419B2">
        <w:rPr>
          <w:sz w:val="23"/>
          <w:szCs w:val="23"/>
        </w:rPr>
        <w:t>’</w:t>
      </w:r>
      <w:r w:rsidR="000059E3">
        <w:rPr>
          <w:sz w:val="23"/>
          <w:szCs w:val="23"/>
        </w:rPr>
        <w:t>examiner des griefs relatifs au manquement des Etats d</w:t>
      </w:r>
      <w:r w:rsidR="00C419B2">
        <w:rPr>
          <w:sz w:val="23"/>
          <w:szCs w:val="23"/>
        </w:rPr>
        <w:t>’</w:t>
      </w:r>
      <w:r w:rsidR="000059E3">
        <w:rPr>
          <w:sz w:val="23"/>
          <w:szCs w:val="23"/>
        </w:rPr>
        <w:t>exécuter ses arrêts.</w:t>
      </w:r>
      <w:r w:rsidR="002759FA">
        <w:rPr>
          <w:sz w:val="23"/>
          <w:szCs w:val="23"/>
        </w:rPr>
        <w:t xml:space="preserve"> Le rôle du Comité des Ministres dans ce domaine ne signifie pas pour autant que les mesures prises par un Etat défendeur en vue de remédier à la violation constatée par la Cour ne puissent pas soulever un problème nouveau, non tranché par l</w:t>
      </w:r>
      <w:r w:rsidR="00C419B2">
        <w:rPr>
          <w:sz w:val="23"/>
          <w:szCs w:val="23"/>
        </w:rPr>
        <w:t>’</w:t>
      </w:r>
      <w:r w:rsidR="002759FA">
        <w:rPr>
          <w:sz w:val="23"/>
          <w:szCs w:val="23"/>
        </w:rPr>
        <w:t>arrêt et, dès lors, faire l</w:t>
      </w:r>
      <w:r w:rsidR="00C419B2">
        <w:rPr>
          <w:sz w:val="23"/>
          <w:szCs w:val="23"/>
        </w:rPr>
        <w:t>’</w:t>
      </w:r>
      <w:r w:rsidR="002759FA">
        <w:rPr>
          <w:sz w:val="23"/>
          <w:szCs w:val="23"/>
        </w:rPr>
        <w:t>objet d</w:t>
      </w:r>
      <w:r w:rsidR="00C419B2">
        <w:rPr>
          <w:sz w:val="23"/>
          <w:szCs w:val="23"/>
        </w:rPr>
        <w:t>’</w:t>
      </w:r>
      <w:r w:rsidR="002759FA">
        <w:rPr>
          <w:sz w:val="23"/>
          <w:szCs w:val="23"/>
        </w:rPr>
        <w:t>une nouvelle requête dont la Cour pourrait avoir à connaître</w:t>
      </w:r>
      <w:r w:rsidR="000059E3">
        <w:rPr>
          <w:sz w:val="23"/>
          <w:szCs w:val="23"/>
        </w:rPr>
        <w:t xml:space="preserve"> (</w:t>
      </w:r>
      <w:r w:rsidR="000059E3" w:rsidRPr="00EC731D">
        <w:rPr>
          <w:i/>
          <w:sz w:val="23"/>
          <w:szCs w:val="23"/>
        </w:rPr>
        <w:t>Egmez c. Chypre (n</w:t>
      </w:r>
      <w:r w:rsidR="009202F2" w:rsidRPr="009202F2">
        <w:rPr>
          <w:i/>
          <w:sz w:val="23"/>
          <w:szCs w:val="23"/>
          <w:vertAlign w:val="superscript"/>
        </w:rPr>
        <w:t>o</w:t>
      </w:r>
      <w:r w:rsidR="000059E3" w:rsidRPr="00EC731D">
        <w:rPr>
          <w:i/>
          <w:sz w:val="23"/>
          <w:szCs w:val="23"/>
        </w:rPr>
        <w:t xml:space="preserve"> 2)</w:t>
      </w:r>
      <w:r w:rsidR="000059E3">
        <w:rPr>
          <w:sz w:val="23"/>
          <w:szCs w:val="23"/>
        </w:rPr>
        <w:t xml:space="preserve"> (déc.), n</w:t>
      </w:r>
      <w:r w:rsidR="009202F2" w:rsidRPr="009202F2">
        <w:rPr>
          <w:sz w:val="23"/>
          <w:szCs w:val="23"/>
          <w:vertAlign w:val="superscript"/>
        </w:rPr>
        <w:t>o</w:t>
      </w:r>
      <w:r w:rsidR="000059E3">
        <w:rPr>
          <w:sz w:val="23"/>
          <w:szCs w:val="23"/>
        </w:rPr>
        <w:t xml:space="preserve"> </w:t>
      </w:r>
      <w:r w:rsidR="00BC7EF7">
        <w:rPr>
          <w:sz w:val="23"/>
          <w:szCs w:val="23"/>
        </w:rPr>
        <w:t>12214/07, §§ 48</w:t>
      </w:r>
      <w:r w:rsidR="00E4714B">
        <w:rPr>
          <w:sz w:val="23"/>
          <w:szCs w:val="23"/>
        </w:rPr>
        <w:t>-5</w:t>
      </w:r>
      <w:r w:rsidR="00EC731D">
        <w:rPr>
          <w:sz w:val="23"/>
          <w:szCs w:val="23"/>
        </w:rPr>
        <w:t>1</w:t>
      </w:r>
      <w:r w:rsidR="00E4714B">
        <w:rPr>
          <w:sz w:val="23"/>
          <w:szCs w:val="23"/>
        </w:rPr>
        <w:t>, 18 septembre 2012)</w:t>
      </w:r>
      <w:r w:rsidR="002759FA">
        <w:rPr>
          <w:sz w:val="23"/>
          <w:szCs w:val="23"/>
        </w:rPr>
        <w:t>.</w:t>
      </w:r>
    </w:p>
    <w:p w:rsidR="00E4314A" w:rsidRDefault="00F46320" w:rsidP="00EC4B91">
      <w:pPr>
        <w:pStyle w:val="JuPara"/>
      </w:pPr>
      <w:r>
        <w:fldChar w:fldCharType="begin"/>
      </w:r>
      <w:r>
        <w:instrText xml:space="preserve"> SEQ level0 \*arabic </w:instrText>
      </w:r>
      <w:r>
        <w:fldChar w:fldCharType="separate"/>
      </w:r>
      <w:r w:rsidR="00E555B3">
        <w:rPr>
          <w:noProof/>
        </w:rPr>
        <w:t>112</w:t>
      </w:r>
      <w:r>
        <w:fldChar w:fldCharType="end"/>
      </w:r>
      <w:r>
        <w:t>.  En l</w:t>
      </w:r>
      <w:r w:rsidR="00C419B2">
        <w:t>’</w:t>
      </w:r>
      <w:r>
        <w:t xml:space="preserve">espèce, la Cour </w:t>
      </w:r>
      <w:r w:rsidR="00617A32">
        <w:t>n</w:t>
      </w:r>
      <w:r w:rsidR="00A31E11">
        <w:t>ote</w:t>
      </w:r>
      <w:r w:rsidR="00617A32">
        <w:t xml:space="preserve"> qu</w:t>
      </w:r>
      <w:r w:rsidR="00A31E11">
        <w:t xml:space="preserve">e, </w:t>
      </w:r>
      <w:r w:rsidR="00617A32">
        <w:t>au moment de l</w:t>
      </w:r>
      <w:r w:rsidR="00C419B2">
        <w:t>’</w:t>
      </w:r>
      <w:r w:rsidR="00617A32">
        <w:t>introduction de la requête</w:t>
      </w:r>
      <w:r w:rsidR="00A31E11">
        <w:t>,</w:t>
      </w:r>
      <w:r w:rsidR="00A31E11" w:rsidRPr="00A31E11">
        <w:t xml:space="preserve"> </w:t>
      </w:r>
      <w:r w:rsidR="00A31E11">
        <w:t>le 7 octobre 2009,</w:t>
      </w:r>
      <w:r w:rsidR="00617A32">
        <w:t xml:space="preserve"> et de la communication de celle-ci, </w:t>
      </w:r>
      <w:r w:rsidR="00A31E11">
        <w:t xml:space="preserve">le 25 mars 2011, </w:t>
      </w:r>
      <w:r w:rsidR="00617A32">
        <w:t>la question de l</w:t>
      </w:r>
      <w:r w:rsidR="00C419B2">
        <w:t>’</w:t>
      </w:r>
      <w:r w:rsidR="00617A32">
        <w:t>exécution de l</w:t>
      </w:r>
      <w:r w:rsidR="00C419B2">
        <w:t>’</w:t>
      </w:r>
      <w:r w:rsidR="00617A32">
        <w:t xml:space="preserve">arrêt précité était encore pendante devant le Comité des Ministres. </w:t>
      </w:r>
      <w:r w:rsidR="00CB71D8">
        <w:t>Le 14 </w:t>
      </w:r>
      <w:r w:rsidR="001704E1">
        <w:t xml:space="preserve">septembre 2011, </w:t>
      </w:r>
      <w:r w:rsidR="00C86DC9">
        <w:t xml:space="preserve">le Comité des Ministres </w:t>
      </w:r>
      <w:r w:rsidR="001704E1">
        <w:t>a décidé de clore l</w:t>
      </w:r>
      <w:r w:rsidR="00C419B2">
        <w:t>’</w:t>
      </w:r>
      <w:r w:rsidR="001704E1">
        <w:t>examen de l</w:t>
      </w:r>
      <w:r w:rsidR="00C419B2">
        <w:t>’</w:t>
      </w:r>
      <w:r w:rsidR="001704E1">
        <w:t>affaire après avoir pris connaissance des mesures individuelles et générales adopté</w:t>
      </w:r>
      <w:r w:rsidR="00B667E4">
        <w:t>e</w:t>
      </w:r>
      <w:r w:rsidR="001704E1">
        <w:t xml:space="preserve">s par le </w:t>
      </w:r>
      <w:r w:rsidR="00EA2DDC">
        <w:t>g</w:t>
      </w:r>
      <w:r w:rsidR="001704E1">
        <w:t>ouvernement dans le cadre de l</w:t>
      </w:r>
      <w:r w:rsidR="00C419B2">
        <w:t>’</w:t>
      </w:r>
      <w:r w:rsidR="001704E1">
        <w:t>exécution de l</w:t>
      </w:r>
      <w:r w:rsidR="00C419B2">
        <w:t>’</w:t>
      </w:r>
      <w:r w:rsidR="001704E1">
        <w:t>arrêt</w:t>
      </w:r>
      <w:r>
        <w:t>, constatant que presque tous les enfants des requérants avaient été inscrits dans la 12</w:t>
      </w:r>
      <w:r w:rsidRPr="00F46320">
        <w:rPr>
          <w:vertAlign w:val="superscript"/>
        </w:rPr>
        <w:t>e</w:t>
      </w:r>
      <w:r>
        <w:t xml:space="preserve"> école primaire d</w:t>
      </w:r>
      <w:r w:rsidR="00C419B2">
        <w:t>’</w:t>
      </w:r>
      <w:r>
        <w:t>Aspropyrgos et que l</w:t>
      </w:r>
      <w:r w:rsidR="00C419B2">
        <w:t>’</w:t>
      </w:r>
      <w:r>
        <w:t xml:space="preserve">Etat </w:t>
      </w:r>
      <w:r w:rsidR="00432B2F">
        <w:t>avait pris des mesures satisfaisantes concernant en général l</w:t>
      </w:r>
      <w:r w:rsidR="00C419B2">
        <w:t>’</w:t>
      </w:r>
      <w:r w:rsidR="00432B2F">
        <w:t>inscription et la scolarisation des enfants roms</w:t>
      </w:r>
      <w:r w:rsidR="009202F2">
        <w:t xml:space="preserve"> (paragraphe 44 ci-dessus)</w:t>
      </w:r>
      <w:r w:rsidR="00432B2F">
        <w:t>. Eu égard à ce constat du Comité des Ministres, la Cour</w:t>
      </w:r>
      <w:r w:rsidR="009202F2">
        <w:t xml:space="preserve"> n</w:t>
      </w:r>
      <w:r w:rsidR="00C419B2">
        <w:t>’</w:t>
      </w:r>
      <w:r w:rsidR="009202F2">
        <w:t>est pas appelée</w:t>
      </w:r>
      <w:r w:rsidR="00432B2F">
        <w:t>, dans le cadre de l</w:t>
      </w:r>
      <w:r w:rsidR="00C419B2">
        <w:t>’</w:t>
      </w:r>
      <w:r w:rsidR="00432B2F">
        <w:t xml:space="preserve">examen de la présente requête telle que présentée par les requérants, </w:t>
      </w:r>
      <w:r w:rsidR="009202F2">
        <w:t xml:space="preserve">à </w:t>
      </w:r>
      <w:r w:rsidR="00432B2F">
        <w:t>se prononcer sur les questions de l</w:t>
      </w:r>
      <w:r w:rsidR="00C419B2">
        <w:t>’</w:t>
      </w:r>
      <w:r w:rsidR="00432B2F">
        <w:t>exécution de l</w:t>
      </w:r>
      <w:r w:rsidR="00C419B2">
        <w:t>’</w:t>
      </w:r>
      <w:r w:rsidR="00432B2F">
        <w:t xml:space="preserve">arrêt </w:t>
      </w:r>
      <w:r w:rsidR="00432B2F" w:rsidRPr="00432B2F">
        <w:rPr>
          <w:i/>
        </w:rPr>
        <w:t>Sampanis et autres</w:t>
      </w:r>
      <w:r w:rsidR="00432B2F">
        <w:t xml:space="preserve"> précité.</w:t>
      </w:r>
    </w:p>
    <w:p w:rsidR="007864C4" w:rsidRPr="00EC4B91" w:rsidRDefault="007864C4" w:rsidP="007864C4">
      <w:pPr>
        <w:pStyle w:val="JuPara"/>
      </w:pPr>
      <w:r>
        <w:fldChar w:fldCharType="begin"/>
      </w:r>
      <w:r>
        <w:instrText xml:space="preserve"> SEQ level0 \*arabic </w:instrText>
      </w:r>
      <w:r>
        <w:fldChar w:fldCharType="separate"/>
      </w:r>
      <w:r w:rsidR="00E555B3">
        <w:rPr>
          <w:noProof/>
        </w:rPr>
        <w:t>113</w:t>
      </w:r>
      <w:r>
        <w:fldChar w:fldCharType="end"/>
      </w:r>
      <w:r>
        <w:t>.  Il s</w:t>
      </w:r>
      <w:r w:rsidR="00C419B2">
        <w:t>’</w:t>
      </w:r>
      <w:r>
        <w:t>ensuit que cette partie de la requête doit être rejetée, en application de l</w:t>
      </w:r>
      <w:r w:rsidR="00C419B2">
        <w:t>’</w:t>
      </w:r>
      <w:r>
        <w:t>article 35 §§ 1, 3 a) et 4 de la Convention.</w:t>
      </w:r>
    </w:p>
    <w:p w:rsidR="00EC6427" w:rsidRPr="000E496D" w:rsidRDefault="00DE126A">
      <w:pPr>
        <w:pStyle w:val="JuHIRoman"/>
      </w:pPr>
      <w:r>
        <w:t>I</w:t>
      </w:r>
      <w:r w:rsidR="00733819">
        <w:t>V</w:t>
      </w:r>
      <w:r w:rsidR="00EC6427" w:rsidRPr="000E496D">
        <w:t>.  SUR L</w:t>
      </w:r>
      <w:r w:rsidR="00C419B2">
        <w:t>’</w:t>
      </w:r>
      <w:r w:rsidR="00EC6427" w:rsidRPr="000E496D">
        <w:t>APPLICATION DE</w:t>
      </w:r>
      <w:r w:rsidR="009616BB">
        <w:t xml:space="preserve">S </w:t>
      </w:r>
      <w:r w:rsidR="00EC6427" w:rsidRPr="000E496D">
        <w:t>ARTICLE</w:t>
      </w:r>
      <w:r w:rsidR="009616BB">
        <w:t>S</w:t>
      </w:r>
      <w:r w:rsidR="00EC6427" w:rsidRPr="000E496D">
        <w:t xml:space="preserve"> 41</w:t>
      </w:r>
      <w:r w:rsidR="009616BB">
        <w:t xml:space="preserve"> ET 46</w:t>
      </w:r>
      <w:r w:rsidR="00EC6427" w:rsidRPr="000E496D">
        <w:t xml:space="preserve"> DE LA CONVENTION</w:t>
      </w:r>
    </w:p>
    <w:p w:rsidR="009616BB" w:rsidRDefault="009616BB" w:rsidP="009616BB">
      <w:pPr>
        <w:pStyle w:val="JuHA"/>
      </w:pPr>
      <w:r>
        <w:t>A.  Article 41</w:t>
      </w:r>
    </w:p>
    <w:p w:rsidR="00EC6427" w:rsidRPr="000E496D" w:rsidRDefault="000E496D" w:rsidP="00B33C50">
      <w:pPr>
        <w:pStyle w:val="JuPara"/>
        <w:keepNext/>
        <w:keepLines/>
        <w:outlineLvl w:val="0"/>
      </w:pPr>
      <w:r w:rsidRPr="000E496D">
        <w:fldChar w:fldCharType="begin"/>
      </w:r>
      <w:r w:rsidRPr="000E496D">
        <w:instrText xml:space="preserve"> SEQ level0 \*arabic </w:instrText>
      </w:r>
      <w:r w:rsidRPr="000E496D">
        <w:fldChar w:fldCharType="separate"/>
      </w:r>
      <w:r w:rsidR="00E555B3">
        <w:rPr>
          <w:noProof/>
        </w:rPr>
        <w:t>114</w:t>
      </w:r>
      <w:r w:rsidRPr="000E496D">
        <w:fldChar w:fldCharType="end"/>
      </w:r>
      <w:r w:rsidR="00EC6427" w:rsidRPr="000E496D">
        <w:t>.  Aux termes de l</w:t>
      </w:r>
      <w:r w:rsidR="00C419B2">
        <w:t>’</w:t>
      </w:r>
      <w:r w:rsidR="00EC6427" w:rsidRPr="000E496D">
        <w:t>article 41 de la Convention,</w:t>
      </w:r>
    </w:p>
    <w:p w:rsidR="00EC6427" w:rsidRPr="000E496D" w:rsidRDefault="00EC6427">
      <w:pPr>
        <w:pStyle w:val="JuQuot"/>
        <w:keepNext/>
        <w:keepLines/>
      </w:pPr>
      <w:r w:rsidRPr="000E496D">
        <w:t>« Si la Cour déclare qu</w:t>
      </w:r>
      <w:r w:rsidR="00C419B2">
        <w:t>’</w:t>
      </w:r>
      <w:r w:rsidRPr="000E496D">
        <w:t>il y a eu violation de la Convention ou de ses Protocoles, et si le droit interne de la Haute Partie contractante ne permet d</w:t>
      </w:r>
      <w:r w:rsidR="00C419B2">
        <w:t>’</w:t>
      </w:r>
      <w:r w:rsidRPr="000E496D">
        <w:t>effacer qu</w:t>
      </w:r>
      <w:r w:rsidR="00C419B2">
        <w:t>’</w:t>
      </w:r>
      <w:r w:rsidRPr="000E496D">
        <w:t>imparfaitement les conséquences de cette violation, la Cour accorde à la partie lésée, s</w:t>
      </w:r>
      <w:r w:rsidR="00C419B2">
        <w:t>’</w:t>
      </w:r>
      <w:r w:rsidRPr="000E496D">
        <w:t>il y a lieu, une satisfaction équitable. »</w:t>
      </w:r>
    </w:p>
    <w:p w:rsidR="00EC6427" w:rsidRPr="000E496D" w:rsidRDefault="00B4617B" w:rsidP="00B4617B">
      <w:pPr>
        <w:pStyle w:val="JuH1"/>
      </w:pPr>
      <w:r>
        <w:t>1</w:t>
      </w:r>
      <w:r w:rsidR="00EC6427" w:rsidRPr="000E496D">
        <w:t>.  Dommage</w:t>
      </w:r>
    </w:p>
    <w:p w:rsidR="00EC6427" w:rsidRPr="000E496D" w:rsidRDefault="000E496D">
      <w:pPr>
        <w:pStyle w:val="JuPara"/>
      </w:pPr>
      <w:r w:rsidRPr="000E496D">
        <w:fldChar w:fldCharType="begin"/>
      </w:r>
      <w:r w:rsidRPr="000E496D">
        <w:instrText xml:space="preserve"> SEQ level0 \*arabic </w:instrText>
      </w:r>
      <w:r w:rsidRPr="000E496D">
        <w:fldChar w:fldCharType="separate"/>
      </w:r>
      <w:r w:rsidR="00E555B3">
        <w:rPr>
          <w:noProof/>
        </w:rPr>
        <w:t>115</w:t>
      </w:r>
      <w:r w:rsidRPr="000E496D">
        <w:fldChar w:fldCharType="end"/>
      </w:r>
      <w:r w:rsidR="00EC6427" w:rsidRPr="000E496D">
        <w:t>.  </w:t>
      </w:r>
      <w:r w:rsidR="00CA6009">
        <w:t>Les requérants</w:t>
      </w:r>
      <w:r w:rsidR="004932DA" w:rsidRPr="000E496D">
        <w:t xml:space="preserve"> réclame</w:t>
      </w:r>
      <w:r w:rsidRPr="000E496D">
        <w:t>nt</w:t>
      </w:r>
      <w:r w:rsidR="00CA6009">
        <w:t xml:space="preserve"> chacun la somme de 9 000</w:t>
      </w:r>
      <w:r w:rsidR="00EC6427" w:rsidRPr="000E496D">
        <w:t xml:space="preserve"> euros (EUR) </w:t>
      </w:r>
      <w:r w:rsidR="00A31E11">
        <w:t>pour</w:t>
      </w:r>
      <w:r w:rsidR="00EC6427" w:rsidRPr="000E496D">
        <w:t xml:space="preserve"> préjudice moral.</w:t>
      </w:r>
    </w:p>
    <w:p w:rsidR="00C2729E" w:rsidRDefault="000E496D" w:rsidP="00C2729E">
      <w:pPr>
        <w:pStyle w:val="JuPara"/>
        <w:outlineLvl w:val="0"/>
      </w:pPr>
      <w:r w:rsidRPr="000E496D">
        <w:fldChar w:fldCharType="begin"/>
      </w:r>
      <w:r w:rsidRPr="000E496D">
        <w:instrText xml:space="preserve"> SEQ level0 \*arabic </w:instrText>
      </w:r>
      <w:r w:rsidRPr="000E496D">
        <w:fldChar w:fldCharType="separate"/>
      </w:r>
      <w:r w:rsidR="00E555B3">
        <w:rPr>
          <w:noProof/>
        </w:rPr>
        <w:t>116</w:t>
      </w:r>
      <w:r w:rsidRPr="000E496D">
        <w:fldChar w:fldCharType="end"/>
      </w:r>
      <w:r w:rsidR="00EC6427" w:rsidRPr="000E496D">
        <w:t xml:space="preserve">.  Le </w:t>
      </w:r>
      <w:r w:rsidR="00C2729E" w:rsidRPr="000E496D">
        <w:t>Gouvern</w:t>
      </w:r>
      <w:r w:rsidR="00C2729E">
        <w:t>ement estime que le constat d</w:t>
      </w:r>
      <w:r w:rsidR="00C419B2">
        <w:t>’</w:t>
      </w:r>
      <w:r w:rsidR="00CC3299">
        <w:t>une</w:t>
      </w:r>
      <w:r w:rsidR="00C2729E">
        <w:t xml:space="preserve"> violation </w:t>
      </w:r>
      <w:r w:rsidR="00CC3299">
        <w:t xml:space="preserve">serait suffisant </w:t>
      </w:r>
      <w:r w:rsidR="00C2729E">
        <w:t>pour compenser l</w:t>
      </w:r>
      <w:r w:rsidR="00C419B2">
        <w:t>’</w:t>
      </w:r>
      <w:r w:rsidR="00C2729E">
        <w:t xml:space="preserve">éventuel dommage moral des requérants. Il </w:t>
      </w:r>
      <w:r w:rsidR="00CC3299">
        <w:t>considère en outre</w:t>
      </w:r>
      <w:r w:rsidR="00C2729E">
        <w:t xml:space="preserve"> que la somme réclamée est exorbitante</w:t>
      </w:r>
      <w:r w:rsidR="00CC3299">
        <w:t>,</w:t>
      </w:r>
      <w:r w:rsidR="00C2729E">
        <w:t xml:space="preserve"> d</w:t>
      </w:r>
      <w:r w:rsidR="00C419B2">
        <w:t>’</w:t>
      </w:r>
      <w:r w:rsidR="00C2729E">
        <w:t xml:space="preserve">autant plus </w:t>
      </w:r>
      <w:r w:rsidR="00C2729E" w:rsidRPr="00825DDF">
        <w:t>qu</w:t>
      </w:r>
      <w:r w:rsidR="00C419B2">
        <w:t>’</w:t>
      </w:r>
      <w:r w:rsidR="00C2729E" w:rsidRPr="00825DDF">
        <w:t xml:space="preserve">elle </w:t>
      </w:r>
      <w:r w:rsidR="00CC3299" w:rsidRPr="00825DDF">
        <w:t>serait</w:t>
      </w:r>
      <w:r w:rsidR="00C2729E" w:rsidRPr="00825DDF">
        <w:t xml:space="preserve"> sollicité</w:t>
      </w:r>
      <w:r w:rsidR="001D63C8">
        <w:t>e</w:t>
      </w:r>
      <w:r w:rsidR="00C2729E" w:rsidRPr="00825DDF">
        <w:t xml:space="preserve"> pour cha</w:t>
      </w:r>
      <w:r w:rsidR="00CC3299" w:rsidRPr="00825DDF">
        <w:t>cun des requérants</w:t>
      </w:r>
      <w:r w:rsidR="00C2729E" w:rsidRPr="00825DDF">
        <w:t xml:space="preserve"> et non </w:t>
      </w:r>
      <w:r w:rsidR="00CC3299" w:rsidRPr="00825DDF">
        <w:t xml:space="preserve">pas </w:t>
      </w:r>
      <w:r w:rsidR="00DE126A" w:rsidRPr="00825DDF">
        <w:t>par</w:t>
      </w:r>
      <w:r w:rsidR="00C2729E" w:rsidRPr="00825DDF">
        <w:t xml:space="preserve"> famille ou </w:t>
      </w:r>
      <w:r w:rsidR="00DE126A" w:rsidRPr="00825DDF">
        <w:t>par</w:t>
      </w:r>
      <w:r w:rsidR="00C2729E" w:rsidRPr="00825DDF">
        <w:t xml:space="preserve"> élève. Il affirme</w:t>
      </w:r>
      <w:r w:rsidR="00CC3299" w:rsidRPr="00825DDF">
        <w:t xml:space="preserve"> enfin</w:t>
      </w:r>
      <w:r w:rsidR="00C2729E" w:rsidRPr="00825DDF">
        <w:t xml:space="preserve"> que les nouvelles procédures de comptabilité publique exigent que le bénéficiaire </w:t>
      </w:r>
      <w:r w:rsidR="007C3A1E" w:rsidRPr="00825DDF">
        <w:t>d</w:t>
      </w:r>
      <w:r w:rsidR="00C419B2">
        <w:t>’</w:t>
      </w:r>
      <w:r w:rsidR="007C3A1E" w:rsidRPr="00825DDF">
        <w:t>un versement effectué à partir de</w:t>
      </w:r>
      <w:r w:rsidR="00C2729E" w:rsidRPr="00825DDF">
        <w:t xml:space="preserve"> comptes publics </w:t>
      </w:r>
      <w:r w:rsidR="007C3A1E" w:rsidRPr="00825DDF">
        <w:t>possède</w:t>
      </w:r>
      <w:r w:rsidR="00C2729E" w:rsidRPr="00825DDF">
        <w:t xml:space="preserve"> une identité bancaire et fiscale concrète et valide. Ainsi, au cas où la Cour allou</w:t>
      </w:r>
      <w:r w:rsidR="00D07F80" w:rsidRPr="00825DDF">
        <w:t>er</w:t>
      </w:r>
      <w:r w:rsidR="00C2729E" w:rsidRPr="00825DDF">
        <w:t>ait des montants en application de l</w:t>
      </w:r>
      <w:r w:rsidR="00C419B2">
        <w:t>’</w:t>
      </w:r>
      <w:r w:rsidR="00C2729E" w:rsidRPr="00825DDF">
        <w:t>article 41, les noms des personnes titulaires de l</w:t>
      </w:r>
      <w:r w:rsidR="00C419B2">
        <w:t>’</w:t>
      </w:r>
      <w:r w:rsidR="00C2729E" w:rsidRPr="00825DDF">
        <w:t>indemnité dev</w:t>
      </w:r>
      <w:r w:rsidR="00D07F80" w:rsidRPr="00825DDF">
        <w:t>r</w:t>
      </w:r>
      <w:r w:rsidR="00C2729E" w:rsidRPr="00825DDF">
        <w:t>aient</w:t>
      </w:r>
      <w:r w:rsidR="00D07F80" w:rsidRPr="00825DDF">
        <w:t>, selon le</w:t>
      </w:r>
      <w:r w:rsidR="00D07F80">
        <w:t xml:space="preserve"> Gouvernement,</w:t>
      </w:r>
      <w:r w:rsidR="00C2729E">
        <w:t xml:space="preserve"> être complétés </w:t>
      </w:r>
      <w:r w:rsidR="00DE126A">
        <w:t>par l</w:t>
      </w:r>
      <w:r w:rsidR="00C419B2">
        <w:t>’</w:t>
      </w:r>
      <w:r w:rsidR="00DE126A">
        <w:t>indication du lieu de résidence</w:t>
      </w:r>
      <w:r w:rsidR="00C2729E">
        <w:t xml:space="preserve">, </w:t>
      </w:r>
      <w:r w:rsidR="00DE126A">
        <w:t>du</w:t>
      </w:r>
      <w:r w:rsidR="00C2729E">
        <w:t xml:space="preserve"> registre fiscal et </w:t>
      </w:r>
      <w:r w:rsidR="00DE126A">
        <w:t>du</w:t>
      </w:r>
      <w:r w:rsidR="00C2729E">
        <w:t xml:space="preserve"> compte bancaire.</w:t>
      </w:r>
    </w:p>
    <w:p w:rsidR="00EB6634" w:rsidRPr="000E496D" w:rsidRDefault="00EB6634" w:rsidP="00C2729E">
      <w:pPr>
        <w:pStyle w:val="JuPara"/>
        <w:outlineLvl w:val="0"/>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117</w:t>
      </w:r>
      <w:r>
        <w:rPr>
          <w:rStyle w:val="sb8d990e2"/>
        </w:rPr>
        <w:fldChar w:fldCharType="end"/>
      </w:r>
      <w:r>
        <w:rPr>
          <w:rStyle w:val="sb8d990e2"/>
        </w:rPr>
        <w:t xml:space="preserve">.  La Cour considère que les requérants ont </w:t>
      </w:r>
      <w:r w:rsidR="003713D0">
        <w:rPr>
          <w:rStyle w:val="sb8d990e2"/>
        </w:rPr>
        <w:t xml:space="preserve">sans nul doute </w:t>
      </w:r>
      <w:r>
        <w:rPr>
          <w:rStyle w:val="sb8d990e2"/>
        </w:rPr>
        <w:t xml:space="preserve">subi un dommage moral – en particulier </w:t>
      </w:r>
      <w:r w:rsidR="00DE126A">
        <w:rPr>
          <w:rStyle w:val="sb8d990e2"/>
        </w:rPr>
        <w:t>du fait</w:t>
      </w:r>
      <w:r>
        <w:rPr>
          <w:rStyle w:val="sb8d990e2"/>
        </w:rPr>
        <w:t xml:space="preserve"> de la frustration due à la discrimination indirecte dont ils ont été victimes – et que le constat de violation de la Convention ne constitue pas une réparation suffisante à cet égard. Elle juge toutefois excessifs les montants réclamés par </w:t>
      </w:r>
      <w:r w:rsidR="00DE126A">
        <w:rPr>
          <w:rStyle w:val="sb8d990e2"/>
        </w:rPr>
        <w:t>les intéressés</w:t>
      </w:r>
      <w:r>
        <w:rPr>
          <w:rStyle w:val="sb8d990e2"/>
        </w:rPr>
        <w:t>. Statuant en é</w:t>
      </w:r>
      <w:r w:rsidR="009849E9">
        <w:rPr>
          <w:rStyle w:val="sb8d990e2"/>
        </w:rPr>
        <w:t>quité, elle alloue à cha</w:t>
      </w:r>
      <w:r w:rsidR="00BF3365">
        <w:rPr>
          <w:rStyle w:val="sb8d990e2"/>
        </w:rPr>
        <w:t>cune des</w:t>
      </w:r>
      <w:r w:rsidR="009849E9">
        <w:rPr>
          <w:rStyle w:val="sb8d990e2"/>
        </w:rPr>
        <w:t xml:space="preserve"> famille</w:t>
      </w:r>
      <w:r w:rsidR="00BF3365">
        <w:rPr>
          <w:rStyle w:val="sb8d990e2"/>
        </w:rPr>
        <w:t>s</w:t>
      </w:r>
      <w:r w:rsidR="009849E9">
        <w:rPr>
          <w:rStyle w:val="sb8d990e2"/>
        </w:rPr>
        <w:t xml:space="preserve"> requérante</w:t>
      </w:r>
      <w:r w:rsidR="00BF3365">
        <w:rPr>
          <w:rStyle w:val="sb8d990e2"/>
        </w:rPr>
        <w:t>s</w:t>
      </w:r>
      <w:r w:rsidR="009849E9">
        <w:rPr>
          <w:rStyle w:val="sb8d990e2"/>
        </w:rPr>
        <w:t xml:space="preserve"> la somme de</w:t>
      </w:r>
      <w:r w:rsidR="00E42652">
        <w:rPr>
          <w:rStyle w:val="sb8d990e2"/>
        </w:rPr>
        <w:t xml:space="preserve"> </w:t>
      </w:r>
      <w:r w:rsidR="001D63C8">
        <w:rPr>
          <w:rStyle w:val="sb8d990e2"/>
        </w:rPr>
        <w:t>1 000</w:t>
      </w:r>
      <w:r>
        <w:rPr>
          <w:rStyle w:val="sb8d990e2"/>
        </w:rPr>
        <w:t> EUR au titre du dommage moral.</w:t>
      </w:r>
    </w:p>
    <w:p w:rsidR="00EC6427" w:rsidRPr="000E496D" w:rsidRDefault="00B4617B" w:rsidP="00B4617B">
      <w:pPr>
        <w:pStyle w:val="JuH1"/>
      </w:pPr>
      <w:r>
        <w:t>2</w:t>
      </w:r>
      <w:r w:rsidR="00EC6427" w:rsidRPr="000E496D">
        <w:t>.  Frais et dépens</w:t>
      </w:r>
    </w:p>
    <w:p w:rsidR="00EC6427" w:rsidRPr="000E496D" w:rsidRDefault="000E496D">
      <w:pPr>
        <w:pStyle w:val="JuPara"/>
      </w:pPr>
      <w:r w:rsidRPr="00BC3A4B">
        <w:fldChar w:fldCharType="begin"/>
      </w:r>
      <w:r w:rsidRPr="00BC3A4B">
        <w:instrText xml:space="preserve"> SEQ level0 \*arabic </w:instrText>
      </w:r>
      <w:r w:rsidRPr="00BC3A4B">
        <w:fldChar w:fldCharType="separate"/>
      </w:r>
      <w:r w:rsidR="00E555B3">
        <w:rPr>
          <w:noProof/>
        </w:rPr>
        <w:t>118</w:t>
      </w:r>
      <w:r w:rsidRPr="00BC3A4B">
        <w:fldChar w:fldCharType="end"/>
      </w:r>
      <w:r w:rsidR="00EC6427" w:rsidRPr="00BC3A4B">
        <w:t>.  </w:t>
      </w:r>
      <w:r w:rsidRPr="00BC3A4B">
        <w:t>Les requérants</w:t>
      </w:r>
      <w:r w:rsidR="004932DA" w:rsidRPr="00BC3A4B">
        <w:t xml:space="preserve"> demande</w:t>
      </w:r>
      <w:r w:rsidRPr="00BC3A4B">
        <w:t>nt</w:t>
      </w:r>
      <w:r w:rsidR="001F1B24" w:rsidRPr="00BC3A4B">
        <w:t xml:space="preserve"> également 12 000 </w:t>
      </w:r>
      <w:r w:rsidR="00EC6427" w:rsidRPr="00BC3A4B">
        <w:t>EUR</w:t>
      </w:r>
      <w:r w:rsidR="001F1B24" w:rsidRPr="00BC3A4B">
        <w:t xml:space="preserve"> </w:t>
      </w:r>
      <w:r w:rsidR="00EC6427" w:rsidRPr="000E496D">
        <w:t xml:space="preserve">pour les frais et dépens </w:t>
      </w:r>
      <w:r w:rsidR="00147398" w:rsidRPr="000E496D">
        <w:t>e</w:t>
      </w:r>
      <w:r w:rsidR="00BC3A4B">
        <w:t>xpos</w:t>
      </w:r>
      <w:r w:rsidR="00147398" w:rsidRPr="000E496D">
        <w:t>és</w:t>
      </w:r>
      <w:r w:rsidR="00EC6427" w:rsidRPr="000E496D">
        <w:t xml:space="preserve"> </w:t>
      </w:r>
      <w:r w:rsidR="00BC3A4B">
        <w:t xml:space="preserve">dans les procédures engagées </w:t>
      </w:r>
      <w:r w:rsidR="00EC6427" w:rsidRPr="000E496D">
        <w:t xml:space="preserve">devant les </w:t>
      </w:r>
      <w:r w:rsidR="001F1B24">
        <w:t xml:space="preserve">autorités </w:t>
      </w:r>
      <w:r w:rsidR="00EC6427" w:rsidRPr="000E496D">
        <w:t xml:space="preserve">internes </w:t>
      </w:r>
      <w:r w:rsidR="001F1B24" w:rsidRPr="00DE126A">
        <w:t>(autorités administratives, autorités compétentes de l</w:t>
      </w:r>
      <w:r w:rsidR="00C419B2">
        <w:t>’</w:t>
      </w:r>
      <w:r w:rsidR="001F1B24" w:rsidRPr="00DE126A">
        <w:t xml:space="preserve">Education nationale, médiateur, procureur du tribunal correctionnel) </w:t>
      </w:r>
      <w:r w:rsidR="00EC6427" w:rsidRPr="00DE126A">
        <w:t xml:space="preserve">et pour ceux </w:t>
      </w:r>
      <w:r w:rsidR="00147398" w:rsidRPr="00DE126A">
        <w:t xml:space="preserve">engagés </w:t>
      </w:r>
      <w:r w:rsidR="00EC6427" w:rsidRPr="00DE126A">
        <w:t>devant la Cour.</w:t>
      </w:r>
      <w:r w:rsidR="00EA7B45" w:rsidRPr="00DE126A">
        <w:t xml:space="preserve"> Ils évaluent le temps </w:t>
      </w:r>
      <w:r w:rsidR="00BC3A4B" w:rsidRPr="00DE126A">
        <w:t xml:space="preserve">de travail de </w:t>
      </w:r>
      <w:r w:rsidR="00DE126A">
        <w:t>leur représentant</w:t>
      </w:r>
      <w:r w:rsidR="00BC3A4B" w:rsidRPr="00DE126A">
        <w:t xml:space="preserve"> </w:t>
      </w:r>
      <w:r w:rsidR="00EA7B45" w:rsidRPr="00DE126A">
        <w:t>sur cette affaire à 120 heures</w:t>
      </w:r>
      <w:r w:rsidR="00BC3A4B" w:rsidRPr="00DE126A">
        <w:t>, pour un tarif de</w:t>
      </w:r>
      <w:r w:rsidR="00EA7B45" w:rsidRPr="00DE126A">
        <w:t xml:space="preserve"> 100 EUR l</w:t>
      </w:r>
      <w:r w:rsidR="00C419B2">
        <w:t>’</w:t>
      </w:r>
      <w:r w:rsidR="00EA7B45" w:rsidRPr="00DE126A">
        <w:t>heure.</w:t>
      </w:r>
      <w:r w:rsidR="00C2729E" w:rsidRPr="00DE126A">
        <w:t xml:space="preserve"> Ils produisent </w:t>
      </w:r>
      <w:r w:rsidR="00DE126A">
        <w:t xml:space="preserve">à cet égard </w:t>
      </w:r>
      <w:r w:rsidR="00C2729E" w:rsidRPr="00DE126A">
        <w:t>un document détaillant le temps que leur représentant a consacr</w:t>
      </w:r>
      <w:r w:rsidR="00BC3A4B" w:rsidRPr="00DE126A">
        <w:t>é</w:t>
      </w:r>
      <w:r w:rsidR="00C2729E" w:rsidRPr="00DE126A">
        <w:t xml:space="preserve"> </w:t>
      </w:r>
      <w:r w:rsidR="00BC3A4B" w:rsidRPr="00DE126A">
        <w:t xml:space="preserve">à </w:t>
      </w:r>
      <w:r w:rsidR="00C2729E" w:rsidRPr="00DE126A">
        <w:t>la rédaction des différents mémoires et observations déposé</w:t>
      </w:r>
      <w:r w:rsidR="00E42652" w:rsidRPr="00DE126A">
        <w:t>s auprès des</w:t>
      </w:r>
      <w:r w:rsidR="00C2729E" w:rsidRPr="00DE126A">
        <w:t xml:space="preserve"> autorités internes et de la Cour.</w:t>
      </w:r>
      <w:r w:rsidR="00FB654D" w:rsidRPr="00DE126A">
        <w:t xml:space="preserve"> </w:t>
      </w:r>
      <w:r w:rsidR="00DE126A">
        <w:rPr>
          <w:rStyle w:val="sb8d990e2"/>
        </w:rPr>
        <w:t>Ils</w:t>
      </w:r>
      <w:r w:rsidR="00FB654D" w:rsidRPr="00DE126A">
        <w:rPr>
          <w:rStyle w:val="sb8d990e2"/>
        </w:rPr>
        <w:t xml:space="preserve"> demandent que la somme </w:t>
      </w:r>
      <w:r w:rsidR="00BC3A4B" w:rsidRPr="00DE126A">
        <w:rPr>
          <w:rStyle w:val="sb8d990e2"/>
        </w:rPr>
        <w:t>qui serait accordée</w:t>
      </w:r>
      <w:r w:rsidR="00FB654D" w:rsidRPr="00DE126A">
        <w:rPr>
          <w:rStyle w:val="sb8d990e2"/>
        </w:rPr>
        <w:t xml:space="preserve"> soit versée </w:t>
      </w:r>
      <w:r w:rsidR="00D53F60" w:rsidRPr="00DE126A">
        <w:rPr>
          <w:rStyle w:val="sb8d990e2"/>
        </w:rPr>
        <w:t>directement sur le compte de leur</w:t>
      </w:r>
      <w:r w:rsidR="00FB654D" w:rsidRPr="00DE126A">
        <w:rPr>
          <w:rStyle w:val="sb8d990e2"/>
        </w:rPr>
        <w:t xml:space="preserve"> représentant.</w:t>
      </w:r>
    </w:p>
    <w:p w:rsidR="00EC6427" w:rsidRPr="000E496D" w:rsidRDefault="000E496D" w:rsidP="00B33C50">
      <w:pPr>
        <w:pStyle w:val="JuPara"/>
        <w:outlineLvl w:val="0"/>
      </w:pPr>
      <w:r w:rsidRPr="000E496D">
        <w:fldChar w:fldCharType="begin"/>
      </w:r>
      <w:r w:rsidRPr="000E496D">
        <w:instrText xml:space="preserve"> SEQ level0 \*arabic </w:instrText>
      </w:r>
      <w:r w:rsidRPr="000E496D">
        <w:fldChar w:fldCharType="separate"/>
      </w:r>
      <w:r w:rsidR="00E555B3">
        <w:rPr>
          <w:noProof/>
        </w:rPr>
        <w:t>119</w:t>
      </w:r>
      <w:r w:rsidRPr="000E496D">
        <w:fldChar w:fldCharType="end"/>
      </w:r>
      <w:r w:rsidR="00EC6427" w:rsidRPr="000E496D">
        <w:t>.  </w:t>
      </w:r>
      <w:r w:rsidR="00C2729E">
        <w:t xml:space="preserve">Le Gouvernement </w:t>
      </w:r>
      <w:r w:rsidR="00BC3A4B">
        <w:t>réplique</w:t>
      </w:r>
      <w:r w:rsidR="00C2729E">
        <w:t xml:space="preserve"> que les procédures </w:t>
      </w:r>
      <w:r w:rsidR="00BC3A4B">
        <w:t xml:space="preserve">menées </w:t>
      </w:r>
      <w:r w:rsidR="00C2729E">
        <w:t xml:space="preserve">devant les autorités internes </w:t>
      </w:r>
      <w:r w:rsidR="00BC3A4B">
        <w:t>n</w:t>
      </w:r>
      <w:r w:rsidR="00C419B2">
        <w:t>’</w:t>
      </w:r>
      <w:r w:rsidR="00BC3A4B">
        <w:t>ont pas entraîné de</w:t>
      </w:r>
      <w:r w:rsidR="00C2729E">
        <w:t xml:space="preserve"> frais. Quant aux honoraires du représentant des requérants, </w:t>
      </w:r>
      <w:r w:rsidR="008D00E6">
        <w:t>le Gouvernement note que les organisations non</w:t>
      </w:r>
      <w:r w:rsidR="00BC3A4B">
        <w:t xml:space="preserve"> </w:t>
      </w:r>
      <w:r w:rsidR="008D00E6">
        <w:t xml:space="preserve">gouvernementales, comme le Greek Helsinki Monitor, </w:t>
      </w:r>
      <w:r w:rsidR="00BC3A4B">
        <w:t xml:space="preserve">fournissent </w:t>
      </w:r>
      <w:r w:rsidR="008D00E6">
        <w:t>d</w:t>
      </w:r>
      <w:r w:rsidR="00C419B2">
        <w:t>’</w:t>
      </w:r>
      <w:r w:rsidR="008D00E6">
        <w:t>habitude leur</w:t>
      </w:r>
      <w:r w:rsidR="00324D71">
        <w:t xml:space="preserve"> aide juridique</w:t>
      </w:r>
      <w:r w:rsidR="00BC3A4B">
        <w:t xml:space="preserve"> gratuitement et que, dans le cas où</w:t>
      </w:r>
      <w:r w:rsidR="008D00E6">
        <w:t xml:space="preserve"> elles per</w:t>
      </w:r>
      <w:r w:rsidR="00BC3A4B">
        <w:t>cevraient</w:t>
      </w:r>
      <w:r w:rsidR="008D00E6">
        <w:t xml:space="preserve"> des honoraires à l</w:t>
      </w:r>
      <w:r w:rsidR="00C419B2">
        <w:t>’</w:t>
      </w:r>
      <w:r w:rsidR="008D00E6">
        <w:t xml:space="preserve">instar des avocats, elles doivent produire des pièces justificatives. </w:t>
      </w:r>
      <w:r w:rsidR="00DE126A">
        <w:t>Il</w:t>
      </w:r>
      <w:r w:rsidR="008D00E6">
        <w:t xml:space="preserve"> déclare ne pas pouvoir accepter le document produit par les requérants</w:t>
      </w:r>
      <w:r w:rsidR="00DE126A">
        <w:t>,</w:t>
      </w:r>
      <w:r w:rsidR="008D00E6">
        <w:t xml:space="preserve"> qui ne rempli</w:t>
      </w:r>
      <w:r w:rsidR="00BC3A4B">
        <w:t>rait</w:t>
      </w:r>
      <w:r w:rsidR="008D00E6">
        <w:t xml:space="preserve"> pas les critères de la loi </w:t>
      </w:r>
      <w:r w:rsidR="00324D71">
        <w:t xml:space="preserve">relative aux </w:t>
      </w:r>
      <w:r w:rsidR="008D00E6">
        <w:t>factures établi</w:t>
      </w:r>
      <w:r w:rsidR="00DE126A">
        <w:t>e</w:t>
      </w:r>
      <w:r w:rsidR="008D00E6">
        <w:t xml:space="preserve">s par les avocats et </w:t>
      </w:r>
      <w:r w:rsidR="00DE126A">
        <w:t xml:space="preserve">qui </w:t>
      </w:r>
      <w:r w:rsidR="008D00E6">
        <w:t>ne prouve</w:t>
      </w:r>
      <w:r w:rsidR="00B667E4">
        <w:t>rai</w:t>
      </w:r>
      <w:r w:rsidR="00BC3A4B">
        <w:t>t</w:t>
      </w:r>
      <w:r w:rsidR="008D00E6">
        <w:t xml:space="preserve"> ni la nécessité ni le caractère raisonnable des sommes réclamées.</w:t>
      </w:r>
    </w:p>
    <w:p w:rsidR="00EC6427" w:rsidRPr="000E496D" w:rsidRDefault="000E496D">
      <w:pPr>
        <w:pStyle w:val="JuPara"/>
      </w:pPr>
      <w:r w:rsidRPr="000E496D">
        <w:fldChar w:fldCharType="begin"/>
      </w:r>
      <w:r w:rsidRPr="000E496D">
        <w:instrText xml:space="preserve"> SEQ level0 \*arabic </w:instrText>
      </w:r>
      <w:r w:rsidRPr="000E496D">
        <w:fldChar w:fldCharType="separate"/>
      </w:r>
      <w:r w:rsidR="00E555B3">
        <w:rPr>
          <w:noProof/>
        </w:rPr>
        <w:t>120</w:t>
      </w:r>
      <w:r w:rsidRPr="000E496D">
        <w:fldChar w:fldCharType="end"/>
      </w:r>
      <w:r w:rsidR="00EC6427" w:rsidRPr="000E496D">
        <w:t>.  </w:t>
      </w:r>
      <w:r w:rsidRPr="000E496D">
        <w:t xml:space="preserve">Selon la jurisprudence de la Cour, un requérant ne peut obtenir le remboursement de ses frais et dépens que dans la mesure où se trouvent établis leur réalité, leur nécessité et le caractère raisonnable de leur taux. </w:t>
      </w:r>
      <w:r w:rsidR="006B195F">
        <w:t>La Cour rappelle aussi que</w:t>
      </w:r>
      <w:r w:rsidR="00BC3A4B">
        <w:t>,</w:t>
      </w:r>
      <w:r w:rsidR="006B195F">
        <w:t xml:space="preserve"> dans l</w:t>
      </w:r>
      <w:r w:rsidR="00C419B2">
        <w:t>’</w:t>
      </w:r>
      <w:r w:rsidR="006B195F">
        <w:t xml:space="preserve">arrêt </w:t>
      </w:r>
      <w:r w:rsidR="006B195F" w:rsidRPr="006B195F">
        <w:rPr>
          <w:i/>
        </w:rPr>
        <w:t>Sampanis et autres c. Grèce</w:t>
      </w:r>
      <w:r w:rsidR="006B195F">
        <w:t xml:space="preserve"> </w:t>
      </w:r>
      <w:r w:rsidR="00BC3A4B">
        <w:t>(</w:t>
      </w:r>
      <w:r w:rsidR="006B195F">
        <w:t>précité</w:t>
      </w:r>
      <w:r w:rsidR="00BC3A4B">
        <w:t>)</w:t>
      </w:r>
      <w:r w:rsidR="006B195F">
        <w:t>, elle a accordé au Greek Helsinki Monitor, qui représentait aussi les requérants dans cette affaire, une somme pour frais et dépens, tout comme elle l</w:t>
      </w:r>
      <w:r w:rsidR="00C419B2">
        <w:t>’</w:t>
      </w:r>
      <w:r w:rsidR="006B195F">
        <w:t>a fait dans d</w:t>
      </w:r>
      <w:r w:rsidR="00C419B2">
        <w:t>’</w:t>
      </w:r>
      <w:r w:rsidR="006B195F">
        <w:t>autres affaires</w:t>
      </w:r>
      <w:r w:rsidR="003561F1">
        <w:t xml:space="preserve"> introduites par </w:t>
      </w:r>
      <w:r w:rsidR="00DE126A">
        <w:t>cette organisation</w:t>
      </w:r>
      <w:r w:rsidR="006B195F">
        <w:t xml:space="preserve"> (voir, par exemple </w:t>
      </w:r>
      <w:r w:rsidR="003B2BB8">
        <w:t xml:space="preserve">et </w:t>
      </w:r>
      <w:r w:rsidR="006B195F">
        <w:t>parmi d</w:t>
      </w:r>
      <w:r w:rsidR="00C419B2">
        <w:t>’</w:t>
      </w:r>
      <w:r w:rsidR="006B195F">
        <w:t>autres,</w:t>
      </w:r>
      <w:r w:rsidR="003561F1">
        <w:t xml:space="preserve"> </w:t>
      </w:r>
      <w:r w:rsidR="006B195F" w:rsidRPr="006B195F">
        <w:rPr>
          <w:i/>
        </w:rPr>
        <w:t>Vihos c. Grèce</w:t>
      </w:r>
      <w:r w:rsidR="006B195F">
        <w:t>, n</w:t>
      </w:r>
      <w:r w:rsidR="009202F2" w:rsidRPr="009202F2">
        <w:rPr>
          <w:vertAlign w:val="superscript"/>
        </w:rPr>
        <w:t>o</w:t>
      </w:r>
      <w:r w:rsidR="006B195F">
        <w:t xml:space="preserve"> 34692/08, 10 février 2011). </w:t>
      </w:r>
      <w:r w:rsidRPr="000E496D">
        <w:t>En l</w:t>
      </w:r>
      <w:r w:rsidR="00C419B2">
        <w:t>’</w:t>
      </w:r>
      <w:r w:rsidRPr="000E496D">
        <w:t>espèce</w:t>
      </w:r>
      <w:r w:rsidR="003561F1">
        <w:t xml:space="preserve">, </w:t>
      </w:r>
      <w:r w:rsidR="00FC613E">
        <w:t xml:space="preserve">elle note que </w:t>
      </w:r>
      <w:r w:rsidR="003561F1">
        <w:t xml:space="preserve">le fait que le document produit par le représentant des requérants ne remplit pas les critères des factures établies par les avocats ne peut pas </w:t>
      </w:r>
      <w:r w:rsidR="00FC613E">
        <w:t>occulter le fait</w:t>
      </w:r>
      <w:r w:rsidR="003561F1">
        <w:t xml:space="preserve"> que le Greek Helsinki Monitor a fourni l</w:t>
      </w:r>
      <w:r w:rsidR="00C419B2">
        <w:t>’</w:t>
      </w:r>
      <w:r w:rsidR="003561F1">
        <w:t xml:space="preserve">assistance juridique nécessaire aux requérants (voir, </w:t>
      </w:r>
      <w:r w:rsidR="003561F1" w:rsidRPr="003561F1">
        <w:rPr>
          <w:i/>
        </w:rPr>
        <w:t>mutatis mutandis</w:t>
      </w:r>
      <w:r w:rsidR="003561F1">
        <w:t xml:space="preserve">, </w:t>
      </w:r>
      <w:r w:rsidR="003561F1" w:rsidRPr="003561F1">
        <w:rPr>
          <w:i/>
        </w:rPr>
        <w:t>Patsuria c</w:t>
      </w:r>
      <w:r w:rsidR="00FC613E" w:rsidRPr="003561F1">
        <w:rPr>
          <w:i/>
        </w:rPr>
        <w:t>.</w:t>
      </w:r>
      <w:r w:rsidR="00FC613E">
        <w:rPr>
          <w:i/>
        </w:rPr>
        <w:t> </w:t>
      </w:r>
      <w:r w:rsidR="003561F1" w:rsidRPr="003561F1">
        <w:rPr>
          <w:i/>
        </w:rPr>
        <w:t>Georgie</w:t>
      </w:r>
      <w:r w:rsidR="003561F1">
        <w:t>, n</w:t>
      </w:r>
      <w:r w:rsidR="009202F2" w:rsidRPr="009202F2">
        <w:rPr>
          <w:vertAlign w:val="superscript"/>
        </w:rPr>
        <w:t>o</w:t>
      </w:r>
      <w:r w:rsidR="003561F1">
        <w:t xml:space="preserve"> 30779/04, § 103, 6 novembre 2007)</w:t>
      </w:r>
      <w:r w:rsidR="00FB654D">
        <w:t xml:space="preserve">. </w:t>
      </w:r>
      <w:r w:rsidR="00543F79">
        <w:t>A la lumière</w:t>
      </w:r>
      <w:r w:rsidR="009D29DE" w:rsidRPr="000E496D">
        <w:t xml:space="preserve"> des documents </w:t>
      </w:r>
      <w:r w:rsidR="00FC613E">
        <w:t>dont elle dispose</w:t>
      </w:r>
      <w:r w:rsidR="009D29DE" w:rsidRPr="000E496D">
        <w:t xml:space="preserve"> et </w:t>
      </w:r>
      <w:r w:rsidR="00543F79">
        <w:t xml:space="preserve">compte tenu </w:t>
      </w:r>
      <w:r w:rsidR="00EE1D67" w:rsidRPr="000E496D">
        <w:t>de sa jurisprudence</w:t>
      </w:r>
      <w:r w:rsidR="00EC6427" w:rsidRPr="000E496D">
        <w:t xml:space="preserve">, la Cour </w:t>
      </w:r>
      <w:r w:rsidR="00D53F60">
        <w:t>estime raisonnable d</w:t>
      </w:r>
      <w:r w:rsidR="00C419B2">
        <w:t>’</w:t>
      </w:r>
      <w:r w:rsidR="00EC6427" w:rsidRPr="000E496D">
        <w:t>accorde</w:t>
      </w:r>
      <w:r w:rsidR="00FC613E">
        <w:t>r</w:t>
      </w:r>
      <w:r w:rsidR="00EC6427" w:rsidRPr="000E496D">
        <w:t xml:space="preserve"> </w:t>
      </w:r>
      <w:r w:rsidR="00543F79">
        <w:t xml:space="preserve">conjointement </w:t>
      </w:r>
      <w:r w:rsidRPr="000E496D">
        <w:t>aux requérants</w:t>
      </w:r>
      <w:r w:rsidR="00D53F60">
        <w:t xml:space="preserve"> la somme de 2 000 EUR</w:t>
      </w:r>
      <w:r w:rsidR="00EC6427" w:rsidRPr="000E496D">
        <w:t>.</w:t>
      </w:r>
      <w:r w:rsidR="00FB654D">
        <w:t xml:space="preserve"> </w:t>
      </w:r>
      <w:r w:rsidR="00D53F60">
        <w:rPr>
          <w:rStyle w:val="sb8d990e2"/>
        </w:rPr>
        <w:t>Elle accueille aussi leur</w:t>
      </w:r>
      <w:r w:rsidR="00FB654D">
        <w:rPr>
          <w:rStyle w:val="sb8d990e2"/>
        </w:rPr>
        <w:t xml:space="preserve"> demande concernant le versement direct de cette somme sur le compte bancaire du représentant</w:t>
      </w:r>
      <w:r w:rsidR="00FC613E">
        <w:rPr>
          <w:rStyle w:val="sb8d990e2"/>
        </w:rPr>
        <w:t xml:space="preserve"> des intéressés</w:t>
      </w:r>
      <w:r w:rsidR="00FB654D">
        <w:rPr>
          <w:rStyle w:val="sb8d990e2"/>
        </w:rPr>
        <w:t>.</w:t>
      </w:r>
    </w:p>
    <w:p w:rsidR="00EC6427" w:rsidRPr="000E496D" w:rsidRDefault="00B4617B" w:rsidP="00B4617B">
      <w:pPr>
        <w:pStyle w:val="JuH1"/>
      </w:pPr>
      <w:r>
        <w:t>3</w:t>
      </w:r>
      <w:r w:rsidR="00EC6427" w:rsidRPr="000E496D">
        <w:t>.  Intérêts moratoires</w:t>
      </w:r>
    </w:p>
    <w:p w:rsidR="00EC6427" w:rsidRDefault="000E496D" w:rsidP="00922F45">
      <w:pPr>
        <w:pStyle w:val="JuPara"/>
      </w:pPr>
      <w:r w:rsidRPr="000E496D">
        <w:fldChar w:fldCharType="begin"/>
      </w:r>
      <w:r w:rsidRPr="000E496D">
        <w:instrText xml:space="preserve"> SEQ level0 \*arabic </w:instrText>
      </w:r>
      <w:r w:rsidRPr="000E496D">
        <w:fldChar w:fldCharType="separate"/>
      </w:r>
      <w:r w:rsidR="00E555B3">
        <w:rPr>
          <w:noProof/>
        </w:rPr>
        <w:t>121</w:t>
      </w:r>
      <w:r w:rsidRPr="000E496D">
        <w:fldChar w:fldCharType="end"/>
      </w:r>
      <w:r w:rsidR="00EC6427" w:rsidRPr="000E496D">
        <w:t xml:space="preserve">.  La Cour juge approprié de </w:t>
      </w:r>
      <w:r w:rsidR="0053642D" w:rsidRPr="000E496D">
        <w:t>calquer</w:t>
      </w:r>
      <w:r w:rsidR="00EC6427" w:rsidRPr="000E496D">
        <w:t xml:space="preserve"> le taux des intérêts moratoires sur le taux d</w:t>
      </w:r>
      <w:r w:rsidR="00C419B2">
        <w:t>’</w:t>
      </w:r>
      <w:r w:rsidR="00EC6427" w:rsidRPr="000E496D">
        <w:t>intérêt de la facilité de prêt marginal de la Banque centrale européenne majoré de trois points de pourcentage.</w:t>
      </w:r>
    </w:p>
    <w:p w:rsidR="009616BB" w:rsidRDefault="009616BB" w:rsidP="009616BB">
      <w:pPr>
        <w:pStyle w:val="JuHA"/>
      </w:pPr>
      <w:r>
        <w:t>B.  Article 46</w:t>
      </w:r>
    </w:p>
    <w:p w:rsidR="009616BB" w:rsidRDefault="009616BB" w:rsidP="00922F45">
      <w:pPr>
        <w:pStyle w:val="JuPara"/>
      </w:pPr>
      <w:r>
        <w:fldChar w:fldCharType="begin"/>
      </w:r>
      <w:r>
        <w:instrText xml:space="preserve"> SEQ level0 \*arabic </w:instrText>
      </w:r>
      <w:r>
        <w:fldChar w:fldCharType="separate"/>
      </w:r>
      <w:r w:rsidR="00E555B3">
        <w:rPr>
          <w:noProof/>
        </w:rPr>
        <w:t>122</w:t>
      </w:r>
      <w:r>
        <w:fldChar w:fldCharType="end"/>
      </w:r>
      <w:r>
        <w:t>.  </w:t>
      </w:r>
      <w:r w:rsidR="00313A14">
        <w:t xml:space="preserve">Les requérants </w:t>
      </w:r>
      <w:r w:rsidR="00884085">
        <w:t xml:space="preserve">invitent la Cour à indiquer au </w:t>
      </w:r>
      <w:r w:rsidR="007026A3">
        <w:t>G</w:t>
      </w:r>
      <w:r w:rsidR="00884085">
        <w:t xml:space="preserve">ouvernement </w:t>
      </w:r>
      <w:r w:rsidR="00E545D2">
        <w:t>des mesures à prendre</w:t>
      </w:r>
      <w:r w:rsidR="002A3F1A">
        <w:t xml:space="preserve"> aux fins de l</w:t>
      </w:r>
      <w:r w:rsidR="00C419B2">
        <w:t>’</w:t>
      </w:r>
      <w:r w:rsidR="002A3F1A">
        <w:t>article 46</w:t>
      </w:r>
      <w:r w:rsidR="00BF4890">
        <w:t xml:space="preserve"> de la Convention</w:t>
      </w:r>
      <w:r w:rsidR="002A3F1A">
        <w:t>,</w:t>
      </w:r>
      <w:r w:rsidR="00E545D2">
        <w:t xml:space="preserve"> </w:t>
      </w:r>
      <w:r w:rsidR="00BF4890">
        <w:t>mesures qui devraient consister</w:t>
      </w:r>
      <w:r w:rsidR="0070722F">
        <w:t>,</w:t>
      </w:r>
      <w:r w:rsidR="00BF4890">
        <w:t xml:space="preserve"> </w:t>
      </w:r>
      <w:r w:rsidR="0070722F">
        <w:t>selon eux,</w:t>
      </w:r>
      <w:r w:rsidR="00BF4890">
        <w:t xml:space="preserve"> en</w:t>
      </w:r>
      <w:r w:rsidR="00E545D2">
        <w:t xml:space="preserve"> la fusion des 11</w:t>
      </w:r>
      <w:r w:rsidR="00E545D2" w:rsidRPr="00E545D2">
        <w:rPr>
          <w:vertAlign w:val="superscript"/>
        </w:rPr>
        <w:t>e</w:t>
      </w:r>
      <w:r w:rsidR="00E545D2">
        <w:t xml:space="preserve"> et 12</w:t>
      </w:r>
      <w:r w:rsidR="00E545D2" w:rsidRPr="00E545D2">
        <w:rPr>
          <w:vertAlign w:val="superscript"/>
        </w:rPr>
        <w:t>e</w:t>
      </w:r>
      <w:r w:rsidR="00E545D2">
        <w:t xml:space="preserve"> écoles. </w:t>
      </w:r>
      <w:r w:rsidR="00BF4890">
        <w:t>Ils précisent à cet égard que</w:t>
      </w:r>
      <w:r w:rsidR="00E545D2">
        <w:t xml:space="preserve">, depuis leur </w:t>
      </w:r>
      <w:r w:rsidR="0070722F">
        <w:t>expuls</w:t>
      </w:r>
      <w:r w:rsidR="00E545D2">
        <w:t>ion de l</w:t>
      </w:r>
      <w:r w:rsidR="00C419B2">
        <w:t>’</w:t>
      </w:r>
      <w:r w:rsidR="00E545D2">
        <w:t xml:space="preserve">aire de Psari et leur installation </w:t>
      </w:r>
      <w:r w:rsidR="00BF4890">
        <w:t xml:space="preserve">sur </w:t>
      </w:r>
      <w:r w:rsidR="00E545D2">
        <w:t>l</w:t>
      </w:r>
      <w:r w:rsidR="00C419B2">
        <w:t>’</w:t>
      </w:r>
      <w:r w:rsidR="00E545D2">
        <w:t>aire de Sofo, en août 2010, ils relèvent de la 11</w:t>
      </w:r>
      <w:r w:rsidR="00E545D2" w:rsidRPr="00E545D2">
        <w:rPr>
          <w:vertAlign w:val="superscript"/>
        </w:rPr>
        <w:t>e</w:t>
      </w:r>
      <w:r w:rsidR="00CB71D8">
        <w:t> </w:t>
      </w:r>
      <w:r w:rsidR="00E545D2">
        <w:t xml:space="preserve">école. </w:t>
      </w:r>
      <w:r w:rsidR="00BF4890">
        <w:t>Ils ajoutent que le g</w:t>
      </w:r>
      <w:r w:rsidR="00E545D2">
        <w:t>ouvernement dev</w:t>
      </w:r>
      <w:r w:rsidR="002A3F1A">
        <w:t>r</w:t>
      </w:r>
      <w:r w:rsidR="00E545D2">
        <w:t xml:space="preserve">ait aussi </w:t>
      </w:r>
      <w:r w:rsidR="002A3F1A">
        <w:t>fournir au sein de la 11</w:t>
      </w:r>
      <w:r w:rsidR="002A3F1A" w:rsidRPr="002A3F1A">
        <w:rPr>
          <w:vertAlign w:val="superscript"/>
        </w:rPr>
        <w:t>e</w:t>
      </w:r>
      <w:r w:rsidR="002A3F1A">
        <w:t xml:space="preserve"> école des « cours de </w:t>
      </w:r>
      <w:r w:rsidR="0070722F">
        <w:t xml:space="preserve">la </w:t>
      </w:r>
      <w:r w:rsidR="002A3F1A">
        <w:t>deuxième chance » pour ceux d</w:t>
      </w:r>
      <w:r w:rsidR="00C419B2">
        <w:t>’</w:t>
      </w:r>
      <w:r w:rsidR="002A3F1A">
        <w:t>entre</w:t>
      </w:r>
      <w:r w:rsidR="001D63C8">
        <w:t xml:space="preserve"> eux</w:t>
      </w:r>
      <w:r w:rsidR="002A3F1A">
        <w:t xml:space="preserve"> </w:t>
      </w:r>
      <w:r w:rsidR="0070722F">
        <w:t xml:space="preserve">à </w:t>
      </w:r>
      <w:r w:rsidR="002A3F1A">
        <w:t>qui leur âge ne p</w:t>
      </w:r>
      <w:r w:rsidR="0070722F">
        <w:t>ermet</w:t>
      </w:r>
      <w:r w:rsidR="002A3F1A">
        <w:t xml:space="preserve"> plus </w:t>
      </w:r>
      <w:r w:rsidR="0070722F">
        <w:t xml:space="preserve">de </w:t>
      </w:r>
      <w:r w:rsidR="002A3F1A">
        <w:t>s</w:t>
      </w:r>
      <w:r w:rsidR="00C419B2">
        <w:t>’</w:t>
      </w:r>
      <w:r w:rsidR="002A3F1A">
        <w:t>inscrire à l</w:t>
      </w:r>
      <w:r w:rsidR="00C419B2">
        <w:t>’</w:t>
      </w:r>
      <w:r w:rsidR="002A3F1A">
        <w:t>école primaire.</w:t>
      </w:r>
    </w:p>
    <w:p w:rsidR="002A3F1A" w:rsidRDefault="002A3F1A" w:rsidP="00922F45">
      <w:pPr>
        <w:pStyle w:val="JuPara"/>
      </w:pPr>
      <w:r>
        <w:fldChar w:fldCharType="begin"/>
      </w:r>
      <w:r>
        <w:instrText xml:space="preserve"> SEQ level0 \*arabic </w:instrText>
      </w:r>
      <w:r>
        <w:fldChar w:fldCharType="separate"/>
      </w:r>
      <w:r w:rsidR="00E555B3">
        <w:rPr>
          <w:noProof/>
        </w:rPr>
        <w:t>123</w:t>
      </w:r>
      <w:r>
        <w:fldChar w:fldCharType="end"/>
      </w:r>
      <w:r>
        <w:t>.  </w:t>
      </w:r>
      <w:r w:rsidR="008924CE">
        <w:t>L</w:t>
      </w:r>
      <w:r w:rsidR="00476D0D">
        <w:t>e Gouvernement soutient que l</w:t>
      </w:r>
      <w:r w:rsidR="00BF4890">
        <w:t>a demande</w:t>
      </w:r>
      <w:r w:rsidR="00476D0D">
        <w:t xml:space="preserve"> d</w:t>
      </w:r>
      <w:r w:rsidR="00C419B2">
        <w:t>’</w:t>
      </w:r>
      <w:r w:rsidR="00476D0D">
        <w:t>appli</w:t>
      </w:r>
      <w:r w:rsidR="00BF4890">
        <w:t>cation de</w:t>
      </w:r>
      <w:r w:rsidR="00476D0D">
        <w:t xml:space="preserve"> l</w:t>
      </w:r>
      <w:r w:rsidR="00C419B2">
        <w:t>’</w:t>
      </w:r>
      <w:r w:rsidR="00476D0D">
        <w:t>article 46 en l</w:t>
      </w:r>
      <w:r w:rsidR="00C419B2">
        <w:t>’</w:t>
      </w:r>
      <w:r w:rsidR="00476D0D">
        <w:t>espèce n</w:t>
      </w:r>
      <w:r w:rsidR="00C419B2">
        <w:t>’</w:t>
      </w:r>
      <w:r w:rsidR="00476D0D">
        <w:t>est pas fondé</w:t>
      </w:r>
      <w:r w:rsidR="00BF4890">
        <w:t>e</w:t>
      </w:r>
      <w:r w:rsidR="00476D0D">
        <w:t>, car il n</w:t>
      </w:r>
      <w:r w:rsidR="00C419B2">
        <w:t>’</w:t>
      </w:r>
      <w:r w:rsidR="00476D0D">
        <w:t>existe</w:t>
      </w:r>
      <w:r w:rsidR="00BF4890">
        <w:t>rait</w:t>
      </w:r>
      <w:r w:rsidR="00476D0D">
        <w:t xml:space="preserve"> aucun problème structurel sous-jacent aux griefs des requérants. A cet égard, il </w:t>
      </w:r>
      <w:r w:rsidR="00BC0C3C">
        <w:t>affirme</w:t>
      </w:r>
      <w:r w:rsidR="008924CE">
        <w:t>, d</w:t>
      </w:r>
      <w:r w:rsidR="00C419B2">
        <w:t>’</w:t>
      </w:r>
      <w:r w:rsidR="008924CE">
        <w:t>une part,</w:t>
      </w:r>
      <w:r w:rsidR="00476D0D">
        <w:t xml:space="preserve"> que</w:t>
      </w:r>
      <w:r w:rsidR="00BF4890">
        <w:t>,</w:t>
      </w:r>
      <w:r w:rsidR="00476D0D">
        <w:t xml:space="preserve"> dans son arrêt du 8 juillet 2008, la Cour a constaté que le système national de l</w:t>
      </w:r>
      <w:r w:rsidR="00C419B2">
        <w:t>’</w:t>
      </w:r>
      <w:r w:rsidR="00476D0D">
        <w:t>éducation pren</w:t>
      </w:r>
      <w:r w:rsidR="00BF4890">
        <w:t>ait</w:t>
      </w:r>
      <w:r w:rsidR="00476D0D">
        <w:t xml:space="preserve"> en compte le mode de vie des enfants roms et facilit</w:t>
      </w:r>
      <w:r w:rsidR="00BF4890">
        <w:t>ait</w:t>
      </w:r>
      <w:r w:rsidR="00476D0D">
        <w:t xml:space="preserve"> leur inscription à l</w:t>
      </w:r>
      <w:r w:rsidR="00C419B2">
        <w:t>’</w:t>
      </w:r>
      <w:r w:rsidR="00476D0D">
        <w:t>école</w:t>
      </w:r>
      <w:r w:rsidR="008924CE">
        <w:t xml:space="preserve"> et, d</w:t>
      </w:r>
      <w:r w:rsidR="00C419B2">
        <w:t>’</w:t>
      </w:r>
      <w:r w:rsidR="008924CE">
        <w:t>autre part, que le Comité des Ministres a, dans le cadre de l</w:t>
      </w:r>
      <w:r w:rsidR="00C419B2">
        <w:t>’</w:t>
      </w:r>
      <w:r w:rsidR="008924CE">
        <w:t>exécution de l</w:t>
      </w:r>
      <w:r w:rsidR="00C419B2">
        <w:t>’</w:t>
      </w:r>
      <w:r w:rsidR="008924CE">
        <w:t xml:space="preserve">arrêt précité, </w:t>
      </w:r>
      <w:r w:rsidR="00DF180E">
        <w:t>reconnu que la Grèce a</w:t>
      </w:r>
      <w:r w:rsidR="00BF4890">
        <w:t>urait</w:t>
      </w:r>
      <w:r w:rsidR="00DF180E">
        <w:t xml:space="preserve"> adopté les mesures générales nécessaires pour intégrer les enfants roms dans le système éducatif national.</w:t>
      </w:r>
    </w:p>
    <w:p w:rsidR="00A25801" w:rsidRPr="00A25801" w:rsidRDefault="00DF180E" w:rsidP="007838F3">
      <w:pPr>
        <w:pStyle w:val="JuPara"/>
      </w:pPr>
      <w:r>
        <w:fldChar w:fldCharType="begin"/>
      </w:r>
      <w:r w:rsidRPr="007838F3">
        <w:instrText xml:space="preserve"> SEQ level0 \*arabic </w:instrText>
      </w:r>
      <w:r>
        <w:fldChar w:fldCharType="separate"/>
      </w:r>
      <w:r w:rsidR="00E555B3">
        <w:rPr>
          <w:noProof/>
        </w:rPr>
        <w:t>124</w:t>
      </w:r>
      <w:r>
        <w:fldChar w:fldCharType="end"/>
      </w:r>
      <w:r w:rsidRPr="007838F3">
        <w:t>.  </w:t>
      </w:r>
      <w:r w:rsidR="00BF4890" w:rsidRPr="007838F3">
        <w:rPr>
          <w:rStyle w:val="sb8d990e2"/>
        </w:rPr>
        <w:t xml:space="preserve">La Cour </w:t>
      </w:r>
      <w:r w:rsidR="00365F27">
        <w:rPr>
          <w:rStyle w:val="sb8d990e2"/>
        </w:rPr>
        <w:t xml:space="preserve">rappelle </w:t>
      </w:r>
      <w:r w:rsidR="007838F3" w:rsidRPr="007838F3">
        <w:t>qu</w:t>
      </w:r>
      <w:r w:rsidR="00C419B2">
        <w:t>’</w:t>
      </w:r>
      <w:r w:rsidR="007838F3" w:rsidRPr="007838F3">
        <w:t>un constat de violation dans ses arrêts est essentiellement déclaratoire et que, par l</w:t>
      </w:r>
      <w:r w:rsidR="00C419B2">
        <w:t>’</w:t>
      </w:r>
      <w:r w:rsidR="007838F3" w:rsidRPr="007838F3">
        <w:t>article 46 de la Convention, les Hautes Parties contractantes se sont engagées à se conformer aux arrêts de la Cour dans les litiges auxquels elles sont parties, le Comité des Ministres étant cha</w:t>
      </w:r>
      <w:r w:rsidR="007838F3">
        <w:t>rgé d</w:t>
      </w:r>
      <w:r w:rsidR="00C419B2">
        <w:t>’</w:t>
      </w:r>
      <w:r w:rsidR="007838F3">
        <w:t>en surveiller l</w:t>
      </w:r>
      <w:r w:rsidR="00C419B2">
        <w:t>’</w:t>
      </w:r>
      <w:r w:rsidR="007838F3">
        <w:t xml:space="preserve">exécution. </w:t>
      </w:r>
      <w:r w:rsidR="007838F3" w:rsidRPr="007838F3">
        <w:t>Le rôle du Comité des Ministres dans ce domaine ne signifie pas pour autant que les mesures prises par un Etat défendeur en vue de remédier à la violation constatée par la Cour ne puissent pas soulever un problème n</w:t>
      </w:r>
      <w:r w:rsidR="007838F3">
        <w:t>ouveau, non tranché par l</w:t>
      </w:r>
      <w:r w:rsidR="00C419B2">
        <w:t>’</w:t>
      </w:r>
      <w:r w:rsidR="007838F3">
        <w:t>arrêt</w:t>
      </w:r>
      <w:r w:rsidR="007838F3" w:rsidRPr="007838F3">
        <w:t xml:space="preserve"> et, dès lors, faire l</w:t>
      </w:r>
      <w:r w:rsidR="00C419B2">
        <w:t>’</w:t>
      </w:r>
      <w:r w:rsidR="007838F3" w:rsidRPr="007838F3">
        <w:t>objet</w:t>
      </w:r>
      <w:r w:rsidR="007838F3">
        <w:t xml:space="preserve"> d</w:t>
      </w:r>
      <w:r w:rsidR="00C419B2">
        <w:t>’</w:t>
      </w:r>
      <w:r w:rsidR="007838F3">
        <w:t>une nouvelle requête dont la Cour pourrait avoir à connaître (</w:t>
      </w:r>
      <w:r w:rsidR="007838F3" w:rsidRPr="00365F27">
        <w:rPr>
          <w:i/>
        </w:rPr>
        <w:t>Verein gegen Tierfabriken Schweiz (VgT) c. Suisse (n</w:t>
      </w:r>
      <w:r w:rsidR="009202F2" w:rsidRPr="009202F2">
        <w:rPr>
          <w:i/>
          <w:vertAlign w:val="superscript"/>
        </w:rPr>
        <w:t>o</w:t>
      </w:r>
      <w:r w:rsidR="007838F3" w:rsidRPr="00365F27">
        <w:rPr>
          <w:i/>
        </w:rPr>
        <w:t xml:space="preserve"> 2)</w:t>
      </w:r>
      <w:r w:rsidR="00365F27">
        <w:t xml:space="preserve"> [GC]</w:t>
      </w:r>
      <w:r w:rsidR="007838F3">
        <w:t>, n</w:t>
      </w:r>
      <w:r w:rsidR="009202F2" w:rsidRPr="009202F2">
        <w:rPr>
          <w:vertAlign w:val="superscript"/>
        </w:rPr>
        <w:t>o</w:t>
      </w:r>
      <w:r w:rsidR="007838F3">
        <w:t xml:space="preserve"> </w:t>
      </w:r>
      <w:r w:rsidR="00365F27">
        <w:t xml:space="preserve">32772/02, §§ 62-63, 30 juin 2009 et </w:t>
      </w:r>
      <w:r w:rsidR="00365F27" w:rsidRPr="00365F27">
        <w:rPr>
          <w:i/>
        </w:rPr>
        <w:t>Egmez</w:t>
      </w:r>
      <w:r w:rsidR="00EA0D7B">
        <w:rPr>
          <w:i/>
        </w:rPr>
        <w:t>,</w:t>
      </w:r>
      <w:r w:rsidR="00365F27" w:rsidRPr="00365F27">
        <w:rPr>
          <w:i/>
        </w:rPr>
        <w:t xml:space="preserve"> </w:t>
      </w:r>
      <w:r w:rsidR="006C497C">
        <w:t xml:space="preserve">§ </w:t>
      </w:r>
      <w:r w:rsidR="00365F27">
        <w:t>51,</w:t>
      </w:r>
      <w:r w:rsidR="00EA0D7B">
        <w:t xml:space="preserve"> précité</w:t>
      </w:r>
      <w:r w:rsidR="00365F27">
        <w:t>).</w:t>
      </w:r>
      <w:bookmarkStart w:id="1" w:name="_1000003"/>
      <w:bookmarkEnd w:id="1"/>
    </w:p>
    <w:p w:rsidR="007838F3" w:rsidRDefault="00365F27" w:rsidP="00922F45">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125</w:t>
      </w:r>
      <w:r>
        <w:rPr>
          <w:rStyle w:val="sb8d990e2"/>
        </w:rPr>
        <w:fldChar w:fldCharType="end"/>
      </w:r>
      <w:r>
        <w:rPr>
          <w:rStyle w:val="sb8d990e2"/>
        </w:rPr>
        <w:t>.  </w:t>
      </w:r>
      <w:r w:rsidR="006C497C">
        <w:rPr>
          <w:rStyle w:val="sb8d990e2"/>
        </w:rPr>
        <w:t>En outre</w:t>
      </w:r>
      <w:r>
        <w:rPr>
          <w:rStyle w:val="sb8d990e2"/>
        </w:rPr>
        <w:t>, dans le cadre spécifique d</w:t>
      </w:r>
      <w:r w:rsidR="00C419B2">
        <w:rPr>
          <w:rStyle w:val="sb8d990e2"/>
        </w:rPr>
        <w:t>’</w:t>
      </w:r>
      <w:r>
        <w:rPr>
          <w:rStyle w:val="sb8d990e2"/>
        </w:rPr>
        <w:t>une violation continue d</w:t>
      </w:r>
      <w:r w:rsidR="00C419B2">
        <w:rPr>
          <w:rStyle w:val="sb8d990e2"/>
        </w:rPr>
        <w:t>’</w:t>
      </w:r>
      <w:r>
        <w:rPr>
          <w:rStyle w:val="sb8d990e2"/>
        </w:rPr>
        <w:t>un article de la Convention à la suite d</w:t>
      </w:r>
      <w:r w:rsidR="00C419B2">
        <w:rPr>
          <w:rStyle w:val="sb8d990e2"/>
        </w:rPr>
        <w:t>’</w:t>
      </w:r>
      <w:r>
        <w:rPr>
          <w:rStyle w:val="sb8d990e2"/>
        </w:rPr>
        <w:t>un arrêt dans lequel la Cour a constaté la violation d</w:t>
      </w:r>
      <w:r w:rsidR="00C419B2">
        <w:rPr>
          <w:rStyle w:val="sb8d990e2"/>
        </w:rPr>
        <w:t>’</w:t>
      </w:r>
      <w:r>
        <w:rPr>
          <w:rStyle w:val="sb8d990e2"/>
        </w:rPr>
        <w:t>un droit pendant une certaine période, il n</w:t>
      </w:r>
      <w:r w:rsidR="00C419B2">
        <w:rPr>
          <w:rStyle w:val="sb8d990e2"/>
        </w:rPr>
        <w:t>’</w:t>
      </w:r>
      <w:r>
        <w:rPr>
          <w:rStyle w:val="sb8d990e2"/>
        </w:rPr>
        <w:t>est pas inhabituel que la Cour examine une deuxième requête portant sur la violation du même droit</w:t>
      </w:r>
      <w:r w:rsidR="006C497C">
        <w:rPr>
          <w:rStyle w:val="sb8d990e2"/>
        </w:rPr>
        <w:t xml:space="preserve"> pendant une période ultérieure. Dans de telles affaires, la « question nouvelle » résulte de la persistance de la violation qui a fondé la décision initiale de la Cour. L</w:t>
      </w:r>
      <w:r w:rsidR="00C419B2">
        <w:rPr>
          <w:rStyle w:val="sb8d990e2"/>
        </w:rPr>
        <w:t>’</w:t>
      </w:r>
      <w:r w:rsidR="006C497C">
        <w:rPr>
          <w:rStyle w:val="sb8d990e2"/>
        </w:rPr>
        <w:t>examen de la Cour sera cependant limité aux nouvelles périodes et aux nouveaux griefs invoqués à cet égard (</w:t>
      </w:r>
      <w:r w:rsidR="006C497C" w:rsidRPr="006C497C">
        <w:rPr>
          <w:rStyle w:val="sb8d990e2"/>
          <w:i/>
        </w:rPr>
        <w:t>Egmez</w:t>
      </w:r>
      <w:r w:rsidR="006C497C">
        <w:rPr>
          <w:rStyle w:val="sb8d990e2"/>
        </w:rPr>
        <w:t xml:space="preserve"> précité</w:t>
      </w:r>
      <w:r w:rsidR="00475AE5">
        <w:rPr>
          <w:rStyle w:val="sb8d990e2"/>
        </w:rPr>
        <w:t>e</w:t>
      </w:r>
      <w:r w:rsidR="006C497C">
        <w:rPr>
          <w:rStyle w:val="sb8d990e2"/>
        </w:rPr>
        <w:t>, § 53).</w:t>
      </w:r>
    </w:p>
    <w:p w:rsidR="00432392" w:rsidRDefault="001D63C8" w:rsidP="00922F45">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126</w:t>
      </w:r>
      <w:r>
        <w:rPr>
          <w:rStyle w:val="sb8d990e2"/>
        </w:rPr>
        <w:fldChar w:fldCharType="end"/>
      </w:r>
      <w:r>
        <w:rPr>
          <w:rStyle w:val="sb8d990e2"/>
        </w:rPr>
        <w:t>.  </w:t>
      </w:r>
      <w:r w:rsidR="004825D1">
        <w:rPr>
          <w:rStyle w:val="sb8d990e2"/>
        </w:rPr>
        <w:t>En clôturant la surveillance de l</w:t>
      </w:r>
      <w:r w:rsidR="00C419B2">
        <w:rPr>
          <w:rStyle w:val="sb8d990e2"/>
        </w:rPr>
        <w:t>’</w:t>
      </w:r>
      <w:r w:rsidR="004825D1">
        <w:rPr>
          <w:rStyle w:val="sb8d990e2"/>
        </w:rPr>
        <w:t>exécution de l</w:t>
      </w:r>
      <w:r w:rsidR="00C419B2">
        <w:rPr>
          <w:rStyle w:val="sb8d990e2"/>
        </w:rPr>
        <w:t>’</w:t>
      </w:r>
      <w:r w:rsidR="004825D1">
        <w:rPr>
          <w:rStyle w:val="sb8d990e2"/>
        </w:rPr>
        <w:t xml:space="preserve">arrêt </w:t>
      </w:r>
      <w:r w:rsidR="004825D1" w:rsidRPr="004825D1">
        <w:rPr>
          <w:rStyle w:val="sb8d990e2"/>
          <w:i/>
        </w:rPr>
        <w:t>Sampanis et autres</w:t>
      </w:r>
      <w:r w:rsidR="004825D1">
        <w:rPr>
          <w:rStyle w:val="sb8d990e2"/>
        </w:rPr>
        <w:t xml:space="preserve"> précité, le Comité des Ministres a constaté que les classes préparatoires spéciales situées dans une annexe de la 10</w:t>
      </w:r>
      <w:r w:rsidR="004825D1" w:rsidRPr="004825D1">
        <w:rPr>
          <w:rStyle w:val="sb8d990e2"/>
          <w:vertAlign w:val="superscript"/>
        </w:rPr>
        <w:t>e</w:t>
      </w:r>
      <w:r w:rsidR="004825D1">
        <w:rPr>
          <w:rStyle w:val="sb8d990e2"/>
        </w:rPr>
        <w:t xml:space="preserve"> école avaient été supprimées, </w:t>
      </w:r>
      <w:r w:rsidR="007C3556">
        <w:rPr>
          <w:rStyle w:val="sb8d990e2"/>
        </w:rPr>
        <w:t>que les autorités avaient adopté des mesures pour faciliter l</w:t>
      </w:r>
      <w:r w:rsidR="00C419B2">
        <w:rPr>
          <w:rStyle w:val="sb8d990e2"/>
        </w:rPr>
        <w:t>’</w:t>
      </w:r>
      <w:r w:rsidR="007C3556">
        <w:rPr>
          <w:rStyle w:val="sb8d990e2"/>
        </w:rPr>
        <w:t xml:space="preserve">inscription des enfants des requérants dans une école ordinaire et </w:t>
      </w:r>
      <w:r w:rsidR="004825D1">
        <w:rPr>
          <w:rStyle w:val="sb8d990e2"/>
        </w:rPr>
        <w:t>qu</w:t>
      </w:r>
      <w:r w:rsidR="00C419B2">
        <w:rPr>
          <w:rStyle w:val="sb8d990e2"/>
        </w:rPr>
        <w:t>’</w:t>
      </w:r>
      <w:r w:rsidR="004825D1">
        <w:rPr>
          <w:rStyle w:val="sb8d990e2"/>
        </w:rPr>
        <w:t xml:space="preserve">une nouvelle école </w:t>
      </w:r>
      <w:r w:rsidR="007C3556">
        <w:rPr>
          <w:rStyle w:val="sb8d990e2"/>
        </w:rPr>
        <w:t xml:space="preserve">ordinaire qui était censée accueillir tant des enfants roms que des enfants non roms </w:t>
      </w:r>
      <w:r w:rsidR="004825D1">
        <w:rPr>
          <w:rStyle w:val="sb8d990e2"/>
        </w:rPr>
        <w:t>avait été créée (la 12</w:t>
      </w:r>
      <w:r w:rsidR="004825D1" w:rsidRPr="004825D1">
        <w:rPr>
          <w:rStyle w:val="sb8d990e2"/>
          <w:vertAlign w:val="superscript"/>
        </w:rPr>
        <w:t>e</w:t>
      </w:r>
      <w:r w:rsidR="007C3556">
        <w:rPr>
          <w:rStyle w:val="sb8d990e2"/>
        </w:rPr>
        <w:t>) (paragraphe 44 ci-dessus).</w:t>
      </w:r>
    </w:p>
    <w:p w:rsidR="00B136CA" w:rsidRDefault="00475AE5" w:rsidP="00922F45">
      <w:pPr>
        <w:pStyle w:val="Ju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127</w:t>
      </w:r>
      <w:r>
        <w:rPr>
          <w:rStyle w:val="sb8d990e2"/>
        </w:rPr>
        <w:fldChar w:fldCharType="end"/>
      </w:r>
      <w:r>
        <w:rPr>
          <w:rStyle w:val="sb8d990e2"/>
        </w:rPr>
        <w:t>.  </w:t>
      </w:r>
      <w:r w:rsidR="00525CBC">
        <w:rPr>
          <w:rStyle w:val="sb8d990e2"/>
        </w:rPr>
        <w:t>Or, ces mesures prises par les autorités grecques concernaient l</w:t>
      </w:r>
      <w:r w:rsidR="00C419B2">
        <w:rPr>
          <w:rStyle w:val="sb8d990e2"/>
        </w:rPr>
        <w:t>’</w:t>
      </w:r>
      <w:r w:rsidR="00525CBC">
        <w:rPr>
          <w:rStyle w:val="sb8d990e2"/>
        </w:rPr>
        <w:t>exécution de l</w:t>
      </w:r>
      <w:r w:rsidR="00C419B2">
        <w:rPr>
          <w:rStyle w:val="sb8d990e2"/>
        </w:rPr>
        <w:t>’</w:t>
      </w:r>
      <w:r w:rsidR="00525CBC">
        <w:rPr>
          <w:rStyle w:val="sb8d990e2"/>
        </w:rPr>
        <w:t xml:space="preserve">arrêt </w:t>
      </w:r>
      <w:r w:rsidR="00525CBC" w:rsidRPr="004825D1">
        <w:rPr>
          <w:rStyle w:val="sb8d990e2"/>
          <w:i/>
        </w:rPr>
        <w:t>Sampanis et autres</w:t>
      </w:r>
      <w:r w:rsidR="00525CBC">
        <w:rPr>
          <w:rStyle w:val="sb8d990e2"/>
        </w:rPr>
        <w:t xml:space="preserve"> précité. Elle</w:t>
      </w:r>
      <w:r>
        <w:rPr>
          <w:rStyle w:val="sb8d990e2"/>
        </w:rPr>
        <w:t>s</w:t>
      </w:r>
      <w:r w:rsidR="00525CBC">
        <w:rPr>
          <w:rStyle w:val="sb8d990e2"/>
        </w:rPr>
        <w:t xml:space="preserve"> ne couvrent pas les nouveaux faits et les nouvelles questions soulevées par la présente requête </w:t>
      </w:r>
      <w:r>
        <w:rPr>
          <w:rStyle w:val="sb8d990e2"/>
        </w:rPr>
        <w:t>et qui ont donné lieu aux violations alléguées et constatées dans le présent arrêt.</w:t>
      </w:r>
      <w:r w:rsidR="00810FA4">
        <w:rPr>
          <w:rStyle w:val="sb8d990e2"/>
        </w:rPr>
        <w:t xml:space="preserve"> D</w:t>
      </w:r>
      <w:r w:rsidR="00C419B2">
        <w:rPr>
          <w:rStyle w:val="sb8d990e2"/>
        </w:rPr>
        <w:t>’</w:t>
      </w:r>
      <w:r w:rsidR="00810FA4">
        <w:rPr>
          <w:rStyle w:val="sb8d990e2"/>
        </w:rPr>
        <w:t>ailleurs, la Résolution CM/r</w:t>
      </w:r>
      <w:r w:rsidR="00466093">
        <w:rPr>
          <w:rStyle w:val="sb8d990e2"/>
        </w:rPr>
        <w:t>esDH(2011)119 (paragraphe 44 ci</w:t>
      </w:r>
      <w:r w:rsidR="00466093">
        <w:rPr>
          <w:rStyle w:val="sb8d990e2"/>
        </w:rPr>
        <w:noBreakHyphen/>
      </w:r>
      <w:r w:rsidR="00810FA4">
        <w:rPr>
          <w:rStyle w:val="sb8d990e2"/>
        </w:rPr>
        <w:t>dessus), précise que les décisions du Comité des Ministres en vertu de l</w:t>
      </w:r>
      <w:r w:rsidR="00C419B2">
        <w:rPr>
          <w:rStyle w:val="sb8d990e2"/>
        </w:rPr>
        <w:t>’</w:t>
      </w:r>
      <w:r w:rsidR="00810FA4">
        <w:rPr>
          <w:rStyle w:val="sb8d990e2"/>
        </w:rPr>
        <w:t>article 46 § 2 de la Convention ne préjugent en rien l</w:t>
      </w:r>
      <w:r w:rsidR="00C419B2">
        <w:rPr>
          <w:rStyle w:val="sb8d990e2"/>
        </w:rPr>
        <w:t>’</w:t>
      </w:r>
      <w:r w:rsidR="00810FA4">
        <w:rPr>
          <w:rStyle w:val="sb8d990e2"/>
        </w:rPr>
        <w:t>examen par la Cour d</w:t>
      </w:r>
      <w:r w:rsidR="00C419B2">
        <w:rPr>
          <w:rStyle w:val="sb8d990e2"/>
        </w:rPr>
        <w:t>’</w:t>
      </w:r>
      <w:r w:rsidR="00810FA4">
        <w:rPr>
          <w:rStyle w:val="sb8d990e2"/>
        </w:rPr>
        <w:t>autres affaires actuellement pendant</w:t>
      </w:r>
      <w:r w:rsidR="001D63C8">
        <w:rPr>
          <w:rStyle w:val="sb8d990e2"/>
        </w:rPr>
        <w:t>es</w:t>
      </w:r>
      <w:r w:rsidR="00810FA4">
        <w:rPr>
          <w:rStyle w:val="sb8d990e2"/>
        </w:rPr>
        <w:t xml:space="preserve"> devant elle.</w:t>
      </w:r>
    </w:p>
    <w:p w:rsidR="00B136CA" w:rsidRDefault="00103000" w:rsidP="00922F45">
      <w:pPr>
        <w:pStyle w:val="JuPara"/>
      </w:pPr>
      <w:r>
        <w:rPr>
          <w:rStyle w:val="sb8d990e2"/>
        </w:rPr>
        <w:fldChar w:fldCharType="begin"/>
      </w:r>
      <w:r>
        <w:rPr>
          <w:rStyle w:val="sb8d990e2"/>
        </w:rPr>
        <w:instrText xml:space="preserve"> SEQ level0 \*arabic </w:instrText>
      </w:r>
      <w:r>
        <w:rPr>
          <w:rStyle w:val="sb8d990e2"/>
        </w:rPr>
        <w:fldChar w:fldCharType="separate"/>
      </w:r>
      <w:r w:rsidR="00E555B3">
        <w:rPr>
          <w:rStyle w:val="sb8d990e2"/>
          <w:noProof/>
        </w:rPr>
        <w:t>128</w:t>
      </w:r>
      <w:r>
        <w:rPr>
          <w:rStyle w:val="sb8d990e2"/>
        </w:rPr>
        <w:fldChar w:fldCharType="end"/>
      </w:r>
      <w:r>
        <w:rPr>
          <w:rStyle w:val="sb8d990e2"/>
        </w:rPr>
        <w:t>.  </w:t>
      </w:r>
      <w:r w:rsidR="00A25801">
        <w:rPr>
          <w:rStyle w:val="sb8d990e2"/>
        </w:rPr>
        <w:t>Eu égard aux circonstances</w:t>
      </w:r>
      <w:r>
        <w:rPr>
          <w:rStyle w:val="sb8d990e2"/>
        </w:rPr>
        <w:t xml:space="preserve"> de l</w:t>
      </w:r>
      <w:r w:rsidR="00C419B2">
        <w:rPr>
          <w:rStyle w:val="sb8d990e2"/>
        </w:rPr>
        <w:t>’</w:t>
      </w:r>
      <w:r w:rsidR="00BF4890">
        <w:rPr>
          <w:rStyle w:val="sb8d990e2"/>
        </w:rPr>
        <w:t>espèce</w:t>
      </w:r>
      <w:r>
        <w:rPr>
          <w:rStyle w:val="sb8d990e2"/>
        </w:rPr>
        <w:t xml:space="preserve">, la Cour </w:t>
      </w:r>
      <w:r w:rsidR="00DF141C">
        <w:rPr>
          <w:rStyle w:val="sb8d990e2"/>
        </w:rPr>
        <w:t>s</w:t>
      </w:r>
      <w:r w:rsidR="00C419B2">
        <w:rPr>
          <w:rStyle w:val="sb8d990e2"/>
        </w:rPr>
        <w:t>’</w:t>
      </w:r>
      <w:r w:rsidR="00DF141C">
        <w:rPr>
          <w:rStyle w:val="sb8d990e2"/>
        </w:rPr>
        <w:t>estime donc compétente pour aider l</w:t>
      </w:r>
      <w:r w:rsidR="00C419B2">
        <w:rPr>
          <w:rStyle w:val="sb8d990e2"/>
        </w:rPr>
        <w:t>’</w:t>
      </w:r>
      <w:r w:rsidR="00DF141C">
        <w:rPr>
          <w:rStyle w:val="sb8d990e2"/>
        </w:rPr>
        <w:t>Etat défendeur à remplir ses obligations au titre de l</w:t>
      </w:r>
      <w:r w:rsidR="00C419B2">
        <w:rPr>
          <w:rStyle w:val="sb8d990e2"/>
        </w:rPr>
        <w:t>’</w:t>
      </w:r>
      <w:r w:rsidR="00DF141C">
        <w:rPr>
          <w:rStyle w:val="sb8d990e2"/>
        </w:rPr>
        <w:t xml:space="preserve">article 46 et indiquer </w:t>
      </w:r>
      <w:r>
        <w:t>certaines mesures concrètes</w:t>
      </w:r>
      <w:r w:rsidR="00DF141C">
        <w:t>,</w:t>
      </w:r>
      <w:r>
        <w:t xml:space="preserve"> préconisée</w:t>
      </w:r>
      <w:r w:rsidR="00BF3036">
        <w:t>s</w:t>
      </w:r>
      <w:r w:rsidR="00DF141C">
        <w:t xml:space="preserve"> d</w:t>
      </w:r>
      <w:r w:rsidR="00C419B2">
        <w:t>’</w:t>
      </w:r>
      <w:r w:rsidR="00DF141C">
        <w:t>ailleurs</w:t>
      </w:r>
      <w:r w:rsidR="00BF3036">
        <w:t xml:space="preserve"> par les requérants mais aussi par le G</w:t>
      </w:r>
      <w:r>
        <w:t xml:space="preserve">ouvernement </w:t>
      </w:r>
      <w:r w:rsidR="00BF3036">
        <w:t>dans ses observation</w:t>
      </w:r>
      <w:r w:rsidR="001E5FFC">
        <w:t>s</w:t>
      </w:r>
      <w:r w:rsidR="00BF3036">
        <w:t xml:space="preserve"> en réponse, de nature à mettre un terme à la violation constatée : ainsi, ceux des requérants qui sont encore </w:t>
      </w:r>
      <w:r w:rsidR="00A11FEE">
        <w:t xml:space="preserve">en </w:t>
      </w:r>
      <w:r w:rsidR="00BF3036">
        <w:t>âge d</w:t>
      </w:r>
      <w:r w:rsidR="00C419B2">
        <w:t>’</w:t>
      </w:r>
      <w:r w:rsidR="00A11FEE">
        <w:t>être</w:t>
      </w:r>
      <w:r w:rsidR="00BF3036">
        <w:t xml:space="preserve"> scolaris</w:t>
      </w:r>
      <w:r w:rsidR="00A11FEE">
        <w:t>és</w:t>
      </w:r>
      <w:r w:rsidR="00BF3036">
        <w:t xml:space="preserve"> pourraient être inscrits</w:t>
      </w:r>
      <w:r w:rsidR="00D53047">
        <w:t xml:space="preserve"> par la </w:t>
      </w:r>
      <w:r w:rsidR="006D685E">
        <w:t>d</w:t>
      </w:r>
      <w:r w:rsidR="00D53047">
        <w:t>irection de l</w:t>
      </w:r>
      <w:r w:rsidR="00C419B2">
        <w:t>’</w:t>
      </w:r>
      <w:r w:rsidR="00D53047">
        <w:t>éducation primaire de l</w:t>
      </w:r>
      <w:r w:rsidR="00C419B2">
        <w:t>’</w:t>
      </w:r>
      <w:r w:rsidR="00D53047">
        <w:t>Attique de l</w:t>
      </w:r>
      <w:r w:rsidR="00C419B2">
        <w:t>’</w:t>
      </w:r>
      <w:r w:rsidR="00D53047">
        <w:t>Ouest</w:t>
      </w:r>
      <w:r w:rsidR="00BF3036">
        <w:t xml:space="preserve"> </w:t>
      </w:r>
      <w:r w:rsidR="00D53047">
        <w:t xml:space="preserve">dans une autre école publique </w:t>
      </w:r>
      <w:r w:rsidR="00BC0C3C">
        <w:t>et ceux</w:t>
      </w:r>
      <w:r w:rsidR="00D53047">
        <w:t xml:space="preserve"> qui ont atteint la majorité pourraient s</w:t>
      </w:r>
      <w:r w:rsidR="00C419B2">
        <w:t>’</w:t>
      </w:r>
      <w:r w:rsidR="00D53047">
        <w:t xml:space="preserve">inscrire dans les « écoles de </w:t>
      </w:r>
      <w:r w:rsidR="00BC0C3C">
        <w:t xml:space="preserve">la </w:t>
      </w:r>
      <w:r w:rsidR="00D53047">
        <w:t>deuxième chance » ou bien les écoles pour adultes, mises en place par le ministère de l</w:t>
      </w:r>
      <w:r w:rsidR="00C419B2">
        <w:t>’</w:t>
      </w:r>
      <w:r w:rsidR="00D53047">
        <w:t>Education dans le cadre du Programme de l</w:t>
      </w:r>
      <w:r w:rsidR="00C419B2">
        <w:t>’</w:t>
      </w:r>
      <w:r w:rsidR="00A11FEE">
        <w:t>i</w:t>
      </w:r>
      <w:r w:rsidR="00D53047">
        <w:t>nstruction pérenne.</w:t>
      </w:r>
    </w:p>
    <w:p w:rsidR="00EC6427" w:rsidRPr="000E496D" w:rsidRDefault="00EC6427" w:rsidP="00B33C50">
      <w:pPr>
        <w:pStyle w:val="JuHHead"/>
      </w:pPr>
      <w:r w:rsidRPr="000E496D">
        <w:t>PAR CES MOTIFS, LA COUR</w:t>
      </w:r>
      <w:r w:rsidR="000E496D" w:rsidRPr="000E496D">
        <w:t>, À L</w:t>
      </w:r>
      <w:r w:rsidR="00C419B2">
        <w:t>’</w:t>
      </w:r>
      <w:r w:rsidR="000E496D" w:rsidRPr="000E496D">
        <w:t>UNANIMITÉ,</w:t>
      </w:r>
    </w:p>
    <w:p w:rsidR="00B136CA" w:rsidRDefault="001D6FCE" w:rsidP="00E168C6">
      <w:pPr>
        <w:pStyle w:val="JuList"/>
      </w:pPr>
      <w:r>
        <w:t>1</w:t>
      </w:r>
      <w:r w:rsidR="00E168C6" w:rsidRPr="000E496D">
        <w:t>.  </w:t>
      </w:r>
      <w:r w:rsidR="00EC6427" w:rsidRPr="000E496D">
        <w:rPr>
          <w:i/>
        </w:rPr>
        <w:t>Déclare</w:t>
      </w:r>
      <w:r w:rsidR="00EC6427" w:rsidRPr="000E496D">
        <w:t xml:space="preserve"> </w:t>
      </w:r>
      <w:r w:rsidR="000E496D" w:rsidRPr="000E496D">
        <w:t>la requête recevable</w:t>
      </w:r>
      <w:r w:rsidR="00EC6427" w:rsidRPr="000E496D">
        <w:t xml:space="preserve"> quant aux griefs tirés de</w:t>
      </w:r>
      <w:r w:rsidR="00A11FEE">
        <w:t xml:space="preserve"> l</w:t>
      </w:r>
      <w:r w:rsidR="00C419B2">
        <w:t>’</w:t>
      </w:r>
      <w:r>
        <w:t>article 14 de la Convention, combiné a</w:t>
      </w:r>
      <w:r w:rsidR="00636FB6">
        <w:t>vec l</w:t>
      </w:r>
      <w:r w:rsidR="00C419B2">
        <w:t>’</w:t>
      </w:r>
      <w:r w:rsidR="00636FB6">
        <w:t>article 2 du Protocole n</w:t>
      </w:r>
      <w:r w:rsidR="009202F2" w:rsidRPr="009202F2">
        <w:rPr>
          <w:vertAlign w:val="superscript"/>
        </w:rPr>
        <w:t>o</w:t>
      </w:r>
      <w:r w:rsidR="00636FB6">
        <w:t> 1</w:t>
      </w:r>
      <w:r>
        <w:t>, et</w:t>
      </w:r>
      <w:r w:rsidR="00636FB6">
        <w:t xml:space="preserve"> </w:t>
      </w:r>
      <w:r w:rsidR="00A11FEE">
        <w:t>de l</w:t>
      </w:r>
      <w:r w:rsidR="00C419B2">
        <w:t>’</w:t>
      </w:r>
      <w:r w:rsidR="00A11FEE">
        <w:t xml:space="preserve">article </w:t>
      </w:r>
      <w:r w:rsidR="00636FB6">
        <w:t>13 de la Convention</w:t>
      </w:r>
      <w:r w:rsidR="00A11FEE">
        <w:t>,</w:t>
      </w:r>
      <w:r>
        <w:t xml:space="preserve"> </w:t>
      </w:r>
      <w:r w:rsidR="00EC6427" w:rsidRPr="000E496D">
        <w:t xml:space="preserve">et </w:t>
      </w:r>
      <w:r w:rsidR="000E496D" w:rsidRPr="000E496D">
        <w:t>irrecevable</w:t>
      </w:r>
      <w:r w:rsidR="00EC6427" w:rsidRPr="000E496D">
        <w:t xml:space="preserve"> pour le surplus ;</w:t>
      </w:r>
    </w:p>
    <w:p w:rsidR="00EC6427" w:rsidRPr="000E496D" w:rsidRDefault="00EC6427">
      <w:pPr>
        <w:pStyle w:val="JuList"/>
      </w:pPr>
    </w:p>
    <w:p w:rsidR="00EC6427" w:rsidRPr="000E496D" w:rsidRDefault="00636FB6">
      <w:pPr>
        <w:pStyle w:val="JuList"/>
      </w:pPr>
      <w:r>
        <w:t>2</w:t>
      </w:r>
      <w:r w:rsidR="00E168C6" w:rsidRPr="000E496D">
        <w:t>.  </w:t>
      </w:r>
      <w:r w:rsidR="00D65AB3" w:rsidRPr="000E496D">
        <w:rPr>
          <w:i/>
        </w:rPr>
        <w:t>Dit</w:t>
      </w:r>
      <w:r w:rsidR="00D65AB3" w:rsidRPr="000E496D">
        <w:t xml:space="preserve"> </w:t>
      </w:r>
      <w:r w:rsidR="00EC6427" w:rsidRPr="000E496D">
        <w:t>qu</w:t>
      </w:r>
      <w:r w:rsidR="00C419B2">
        <w:t>’</w:t>
      </w:r>
      <w:r w:rsidR="00EC6427" w:rsidRPr="000E496D">
        <w:t>il y a eu violation de l</w:t>
      </w:r>
      <w:r w:rsidR="00C419B2">
        <w:t>’</w:t>
      </w:r>
      <w:r w:rsidR="00EC6427" w:rsidRPr="000E496D">
        <w:t xml:space="preserve">article </w:t>
      </w:r>
      <w:r>
        <w:t>14</w:t>
      </w:r>
      <w:r w:rsidR="00EC6427" w:rsidRPr="000E496D">
        <w:t xml:space="preserve"> de la Convention</w:t>
      </w:r>
      <w:r>
        <w:t>, combiné avec l</w:t>
      </w:r>
      <w:r w:rsidR="00C419B2">
        <w:t>’</w:t>
      </w:r>
      <w:r>
        <w:t>article 2 du Protocole n</w:t>
      </w:r>
      <w:r w:rsidR="009202F2" w:rsidRPr="009202F2">
        <w:rPr>
          <w:vertAlign w:val="superscript"/>
        </w:rPr>
        <w:t>o</w:t>
      </w:r>
      <w:r>
        <w:t> 1</w:t>
      </w:r>
      <w:r w:rsidR="00EC6427" w:rsidRPr="000E496D">
        <w:t> ;</w:t>
      </w:r>
    </w:p>
    <w:p w:rsidR="00EC6427" w:rsidRPr="000E496D" w:rsidRDefault="00EC6427">
      <w:pPr>
        <w:pStyle w:val="JuList"/>
      </w:pPr>
    </w:p>
    <w:p w:rsidR="00EC6427" w:rsidRPr="000E496D" w:rsidRDefault="00636FB6">
      <w:pPr>
        <w:pStyle w:val="JuList"/>
      </w:pPr>
      <w:r>
        <w:t>3</w:t>
      </w:r>
      <w:r w:rsidR="00EC6427" w:rsidRPr="000E496D">
        <w:t>.  </w:t>
      </w:r>
      <w:r w:rsidR="00EC6427" w:rsidRPr="000E496D">
        <w:rPr>
          <w:i/>
        </w:rPr>
        <w:t>Dit</w:t>
      </w:r>
      <w:r w:rsidR="00EC6427" w:rsidRPr="000E496D">
        <w:t xml:space="preserve"> qu</w:t>
      </w:r>
      <w:r w:rsidR="00C419B2">
        <w:t>’</w:t>
      </w:r>
      <w:r w:rsidR="00EC6427" w:rsidRPr="000E496D">
        <w:t>il n</w:t>
      </w:r>
      <w:r w:rsidR="00C419B2">
        <w:t>’</w:t>
      </w:r>
      <w:r w:rsidR="00EC6427" w:rsidRPr="000E496D">
        <w:t>y a pas lieu d</w:t>
      </w:r>
      <w:r w:rsidR="00C419B2">
        <w:t>’</w:t>
      </w:r>
      <w:r w:rsidR="00EC6427" w:rsidRPr="000E496D">
        <w:t>examiner</w:t>
      </w:r>
      <w:r w:rsidR="00AD524E">
        <w:t xml:space="preserve"> séparément</w:t>
      </w:r>
      <w:r w:rsidR="00EC6427" w:rsidRPr="000E496D">
        <w:t xml:space="preserve"> le grief tiré de l</w:t>
      </w:r>
      <w:r w:rsidR="00C419B2">
        <w:t>’</w:t>
      </w:r>
      <w:r w:rsidR="00EC6427" w:rsidRPr="000E496D">
        <w:t xml:space="preserve">article </w:t>
      </w:r>
      <w:r>
        <w:t>13</w:t>
      </w:r>
      <w:r w:rsidR="00EC6427" w:rsidRPr="000E496D">
        <w:t xml:space="preserve"> de la Convention ;</w:t>
      </w:r>
    </w:p>
    <w:p w:rsidR="00EC6427" w:rsidRPr="000E496D" w:rsidRDefault="00EC6427">
      <w:pPr>
        <w:pStyle w:val="JuList"/>
      </w:pPr>
    </w:p>
    <w:p w:rsidR="00B136CA" w:rsidRDefault="00636FB6">
      <w:pPr>
        <w:pStyle w:val="JuList"/>
      </w:pPr>
      <w:r>
        <w:t>4</w:t>
      </w:r>
      <w:r w:rsidR="00EC6427" w:rsidRPr="000E496D">
        <w:t>.  </w:t>
      </w:r>
      <w:r w:rsidR="00EC6427" w:rsidRPr="000E496D">
        <w:rPr>
          <w:i/>
        </w:rPr>
        <w:t>Dit</w:t>
      </w:r>
    </w:p>
    <w:p w:rsidR="0029723C" w:rsidRPr="000E496D" w:rsidRDefault="00EC6427" w:rsidP="000E4D02">
      <w:pPr>
        <w:pStyle w:val="JuLista"/>
      </w:pPr>
      <w:r w:rsidRPr="000E496D">
        <w:t>a)  que l</w:t>
      </w:r>
      <w:r w:rsidR="00C419B2">
        <w:t>’</w:t>
      </w:r>
      <w:r w:rsidRPr="000E496D">
        <w:t>Etat défendeur doit verser, dans les trois mois</w:t>
      </w:r>
      <w:r w:rsidR="00636FB6">
        <w:t xml:space="preserve">, </w:t>
      </w:r>
      <w:r w:rsidR="000E496D" w:rsidRPr="000E496D">
        <w:t>à compter du jour où l</w:t>
      </w:r>
      <w:r w:rsidR="00C419B2">
        <w:t>’</w:t>
      </w:r>
      <w:r w:rsidR="000E496D" w:rsidRPr="000E496D">
        <w:t>arrêt sera devenu définitif conformément à l</w:t>
      </w:r>
      <w:r w:rsidR="00C419B2">
        <w:t>’</w:t>
      </w:r>
      <w:r w:rsidR="000E496D" w:rsidRPr="000E496D">
        <w:t>article 44 § 2 de la Convention</w:t>
      </w:r>
      <w:r w:rsidR="00636FB6">
        <w:t xml:space="preserve">, </w:t>
      </w:r>
      <w:r w:rsidR="0029723C" w:rsidRPr="000E496D">
        <w:t>les sommes</w:t>
      </w:r>
      <w:r w:rsidR="00BC0C3C">
        <w:t xml:space="preserve"> suivantes</w:t>
      </w:r>
      <w:r w:rsidR="0029723C" w:rsidRPr="000E496D">
        <w:t> :</w:t>
      </w:r>
    </w:p>
    <w:p w:rsidR="0029723C" w:rsidRPr="000E496D" w:rsidRDefault="0029723C" w:rsidP="00CE3E62">
      <w:pPr>
        <w:pStyle w:val="JuListi"/>
        <w:rPr>
          <w:lang w:eastAsia="en-GB"/>
        </w:rPr>
      </w:pPr>
      <w:r w:rsidRPr="000E496D">
        <w:rPr>
          <w:lang w:eastAsia="en-GB"/>
        </w:rPr>
        <w:t>i</w:t>
      </w:r>
      <w:r w:rsidR="00B4617B">
        <w:rPr>
          <w:lang w:eastAsia="en-GB"/>
        </w:rPr>
        <w:t>.</w:t>
      </w:r>
      <w:r w:rsidRPr="000E496D">
        <w:rPr>
          <w:lang w:eastAsia="en-GB"/>
        </w:rPr>
        <w:t>  </w:t>
      </w:r>
      <w:r w:rsidR="001D63C8">
        <w:rPr>
          <w:lang w:eastAsia="en-GB"/>
        </w:rPr>
        <w:t xml:space="preserve">1 000 </w:t>
      </w:r>
      <w:r w:rsidRPr="000E496D">
        <w:rPr>
          <w:lang w:eastAsia="en-GB"/>
        </w:rPr>
        <w:t>EUR (</w:t>
      </w:r>
      <w:r w:rsidR="001D63C8">
        <w:rPr>
          <w:lang w:eastAsia="en-GB"/>
        </w:rPr>
        <w:t>mille</w:t>
      </w:r>
      <w:r w:rsidRPr="000E496D">
        <w:rPr>
          <w:lang w:eastAsia="en-GB"/>
        </w:rPr>
        <w:t xml:space="preserve"> euros), plus tout montant pouvant être dû à titre d</w:t>
      </w:r>
      <w:r w:rsidR="00C419B2">
        <w:rPr>
          <w:lang w:eastAsia="en-GB"/>
        </w:rPr>
        <w:t>’</w:t>
      </w:r>
      <w:r w:rsidRPr="000E496D">
        <w:rPr>
          <w:lang w:eastAsia="en-GB"/>
        </w:rPr>
        <w:t>impôt,</w:t>
      </w:r>
      <w:r w:rsidR="00101BAD">
        <w:rPr>
          <w:lang w:eastAsia="en-GB"/>
        </w:rPr>
        <w:t xml:space="preserve"> à chacune des familles requérantes,</w:t>
      </w:r>
      <w:r w:rsidRPr="000E496D">
        <w:rPr>
          <w:lang w:eastAsia="en-GB"/>
        </w:rPr>
        <w:t xml:space="preserve"> pour dommage moral</w:t>
      </w:r>
      <w:r w:rsidR="009823C5">
        <w:rPr>
          <w:lang w:eastAsia="en-GB"/>
        </w:rPr>
        <w:t> ;</w:t>
      </w:r>
    </w:p>
    <w:p w:rsidR="0029723C" w:rsidRPr="000E496D" w:rsidRDefault="0029723C" w:rsidP="00CE3E62">
      <w:pPr>
        <w:pStyle w:val="JuListi"/>
        <w:rPr>
          <w:lang w:eastAsia="en-GB"/>
        </w:rPr>
      </w:pPr>
      <w:r w:rsidRPr="000E496D">
        <w:rPr>
          <w:lang w:eastAsia="en-GB"/>
        </w:rPr>
        <w:t>ii</w:t>
      </w:r>
      <w:r w:rsidR="00B4617B">
        <w:rPr>
          <w:lang w:eastAsia="en-GB"/>
        </w:rPr>
        <w:t>.</w:t>
      </w:r>
      <w:r w:rsidRPr="000E496D">
        <w:rPr>
          <w:lang w:eastAsia="en-GB"/>
        </w:rPr>
        <w:t>  </w:t>
      </w:r>
      <w:r w:rsidR="006B0ADC">
        <w:rPr>
          <w:lang w:eastAsia="en-GB"/>
        </w:rPr>
        <w:t xml:space="preserve">2 000 </w:t>
      </w:r>
      <w:r w:rsidRPr="000E496D">
        <w:rPr>
          <w:lang w:eastAsia="en-GB"/>
        </w:rPr>
        <w:t>EUR (</w:t>
      </w:r>
      <w:r w:rsidR="006B0ADC">
        <w:rPr>
          <w:lang w:eastAsia="en-GB"/>
        </w:rPr>
        <w:t>deux mille</w:t>
      </w:r>
      <w:r w:rsidRPr="000E496D">
        <w:rPr>
          <w:lang w:eastAsia="en-GB"/>
        </w:rPr>
        <w:t xml:space="preserve"> euros), plus tout montant pouvant être dû à titre d</w:t>
      </w:r>
      <w:r w:rsidR="00C419B2">
        <w:rPr>
          <w:lang w:eastAsia="en-GB"/>
        </w:rPr>
        <w:t>’</w:t>
      </w:r>
      <w:r w:rsidRPr="000E496D">
        <w:rPr>
          <w:lang w:eastAsia="en-GB"/>
        </w:rPr>
        <w:t>impôt par le</w:t>
      </w:r>
      <w:r w:rsidR="00101BAD">
        <w:rPr>
          <w:lang w:eastAsia="en-GB"/>
        </w:rPr>
        <w:t>s</w:t>
      </w:r>
      <w:r w:rsidRPr="000E496D">
        <w:rPr>
          <w:lang w:eastAsia="en-GB"/>
        </w:rPr>
        <w:t xml:space="preserve"> requérant</w:t>
      </w:r>
      <w:r w:rsidR="00101BAD">
        <w:rPr>
          <w:lang w:eastAsia="en-GB"/>
        </w:rPr>
        <w:t>s</w:t>
      </w:r>
      <w:r w:rsidRPr="000E496D">
        <w:rPr>
          <w:lang w:eastAsia="en-GB"/>
        </w:rPr>
        <w:t>,</w:t>
      </w:r>
      <w:r w:rsidR="00101BAD">
        <w:rPr>
          <w:lang w:eastAsia="en-GB"/>
        </w:rPr>
        <w:t xml:space="preserve"> conjointement à ceux-ci,</w:t>
      </w:r>
      <w:r w:rsidRPr="000E496D">
        <w:rPr>
          <w:lang w:eastAsia="en-GB"/>
        </w:rPr>
        <w:t xml:space="preserve"> pour frais et dépens</w:t>
      </w:r>
      <w:r w:rsidR="00101BAD">
        <w:rPr>
          <w:lang w:eastAsia="en-GB"/>
        </w:rPr>
        <w:t xml:space="preserve">, </w:t>
      </w:r>
      <w:r w:rsidR="00101BAD">
        <w:rPr>
          <w:rStyle w:val="sb8d990e2"/>
        </w:rPr>
        <w:t>à verser sur le compte bancaire de leur représentant </w:t>
      </w:r>
      <w:r w:rsidRPr="000E496D">
        <w:rPr>
          <w:lang w:eastAsia="en-GB"/>
        </w:rPr>
        <w:t>;</w:t>
      </w:r>
    </w:p>
    <w:p w:rsidR="00EC6427" w:rsidRPr="000E496D" w:rsidRDefault="00EC6427">
      <w:pPr>
        <w:pStyle w:val="JuLista"/>
      </w:pPr>
      <w:r w:rsidRPr="000E496D">
        <w:t>b)  qu</w:t>
      </w:r>
      <w:r w:rsidR="00C419B2">
        <w:t>’</w:t>
      </w:r>
      <w:r w:rsidRPr="000E496D">
        <w:t>à compter de l</w:t>
      </w:r>
      <w:r w:rsidR="00C419B2">
        <w:t>’</w:t>
      </w:r>
      <w:r w:rsidRPr="000E496D">
        <w:t>expiration dudit délai et jusqu</w:t>
      </w:r>
      <w:r w:rsidR="00C419B2">
        <w:t>’</w:t>
      </w:r>
      <w:r w:rsidRPr="000E496D">
        <w:t>au versement, ces montan</w:t>
      </w:r>
      <w:r w:rsidR="0029723C" w:rsidRPr="000E496D">
        <w:t>t</w:t>
      </w:r>
      <w:r w:rsidRPr="000E496D">
        <w:t>s</w:t>
      </w:r>
      <w:r w:rsidR="0029723C" w:rsidRPr="000E496D">
        <w:t xml:space="preserve"> ser</w:t>
      </w:r>
      <w:r w:rsidRPr="000E496D">
        <w:t>ont à majorer d</w:t>
      </w:r>
      <w:r w:rsidR="00C419B2">
        <w:t>’</w:t>
      </w:r>
      <w:r w:rsidRPr="000E496D">
        <w:t>un intérêt simple à un taux égal à celui de la facilité de prêt marginal de la Banque centrale européenne applicable pendant cette période, augmenté de trois points de pourcentage ;</w:t>
      </w:r>
    </w:p>
    <w:p w:rsidR="00EC6427" w:rsidRPr="000E496D" w:rsidRDefault="00EC6427">
      <w:pPr>
        <w:pStyle w:val="JuLista"/>
      </w:pPr>
    </w:p>
    <w:p w:rsidR="00EC6427" w:rsidRPr="000E496D" w:rsidRDefault="00636FB6">
      <w:pPr>
        <w:pStyle w:val="JuList"/>
      </w:pPr>
      <w:r>
        <w:t>5</w:t>
      </w:r>
      <w:r w:rsidR="00EC6427" w:rsidRPr="000E496D">
        <w:t>.  </w:t>
      </w:r>
      <w:r w:rsidR="00EC6427" w:rsidRPr="000E496D">
        <w:rPr>
          <w:i/>
        </w:rPr>
        <w:t>Rejette</w:t>
      </w:r>
      <w:r w:rsidR="009202F2">
        <w:rPr>
          <w:i/>
        </w:rPr>
        <w:t xml:space="preserve"> </w:t>
      </w:r>
      <w:r w:rsidR="00EC6427" w:rsidRPr="000E496D">
        <w:t>la demande de satisfaction équitable pour le surplus.</w:t>
      </w:r>
    </w:p>
    <w:p w:rsidR="00560B55" w:rsidRPr="000E496D" w:rsidRDefault="00EC6427" w:rsidP="00560B55">
      <w:pPr>
        <w:pStyle w:val="JuParaLast"/>
      </w:pPr>
      <w:r w:rsidRPr="000E496D">
        <w:t>Fait en français, puis communiqué par écrit le </w:t>
      </w:r>
      <w:r w:rsidR="009202F2">
        <w:t>11 décembre 2012</w:t>
      </w:r>
      <w:r w:rsidR="0053642D" w:rsidRPr="000E496D">
        <w:t>,</w:t>
      </w:r>
      <w:r w:rsidRPr="000E496D">
        <w:t xml:space="preserve"> en application de l</w:t>
      </w:r>
      <w:r w:rsidR="00C419B2">
        <w:t>’</w:t>
      </w:r>
      <w:r w:rsidRPr="000E496D">
        <w:t>article 77 §§ 2 et 3 du règlement.</w:t>
      </w:r>
    </w:p>
    <w:p w:rsidR="00C66B06" w:rsidRDefault="000E496D" w:rsidP="00466093">
      <w:pPr>
        <w:pStyle w:val="JuSigned"/>
        <w:keepNext/>
        <w:keepLines/>
        <w:tabs>
          <w:tab w:val="clear" w:pos="6407"/>
          <w:tab w:val="center" w:pos="6240"/>
        </w:tabs>
      </w:pPr>
      <w:r w:rsidRPr="000E496D">
        <w:tab/>
      </w:r>
      <w:r w:rsidR="009202F2">
        <w:t>André Wampach</w:t>
      </w:r>
      <w:r w:rsidR="004C7DF5" w:rsidRPr="000E496D">
        <w:tab/>
      </w:r>
      <w:r w:rsidR="009202F2">
        <w:t>Isabelle Berro-Lefèvre</w:t>
      </w:r>
      <w:r w:rsidR="004C7DF5" w:rsidRPr="000E496D">
        <w:br/>
      </w:r>
      <w:r w:rsidR="004C7DF5" w:rsidRPr="000E496D">
        <w:tab/>
      </w:r>
      <w:r w:rsidRPr="000E496D">
        <w:t>Greffier</w:t>
      </w:r>
      <w:r w:rsidR="009202F2">
        <w:t xml:space="preserve"> adjoint</w:t>
      </w:r>
      <w:r w:rsidR="004C7DF5" w:rsidRPr="000E496D">
        <w:tab/>
      </w:r>
      <w:r w:rsidRPr="000E496D">
        <w:t>Présidente</w:t>
      </w:r>
      <w:r w:rsidR="00466093">
        <w:br/>
      </w:r>
    </w:p>
    <w:p w:rsidR="00B136CA" w:rsidRDefault="00B136CA" w:rsidP="00466093">
      <w:pPr>
        <w:pStyle w:val="JuParaLast"/>
      </w:pPr>
      <w:r>
        <w:t>Au présent arrêt se trouve joint, conformément aux articles 45 § 2 de la Convention et 74 § 2 du règlement, l</w:t>
      </w:r>
      <w:r w:rsidR="00C419B2">
        <w:t>’</w:t>
      </w:r>
      <w:r w:rsidR="00F82AA0">
        <w:t>opinion concordante</w:t>
      </w:r>
      <w:r>
        <w:t xml:space="preserve"> du juge Kovler.</w:t>
      </w:r>
    </w:p>
    <w:p w:rsidR="00B136CA" w:rsidRDefault="00B136CA" w:rsidP="00B136CA">
      <w:pPr>
        <w:pStyle w:val="JuInitialled"/>
        <w:sectPr w:rsidR="00B136CA" w:rsidSect="009202F2">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r>
        <w:t>I.B.-L.</w:t>
      </w:r>
      <w:r>
        <w:br/>
        <w:t>A.</w:t>
      </w:r>
      <w:r w:rsidR="00C66B06">
        <w:t>M.</w:t>
      </w:r>
      <w:r>
        <w:t>W.</w:t>
      </w:r>
    </w:p>
    <w:p w:rsidR="00B136CA" w:rsidRPr="009B7C9A" w:rsidRDefault="00F82AA0" w:rsidP="00B136CA">
      <w:pPr>
        <w:pStyle w:val="OpiHHead"/>
        <w:rPr>
          <w:i/>
        </w:rPr>
      </w:pPr>
      <w:r>
        <w:t xml:space="preserve">OPINION CONCORDANTE </w:t>
      </w:r>
      <w:r w:rsidR="00B136CA">
        <w:t>DU JUGE KOVLER</w:t>
      </w:r>
    </w:p>
    <w:p w:rsidR="00B136CA" w:rsidRPr="009B7C9A" w:rsidRDefault="00B136CA" w:rsidP="00B136CA">
      <w:pPr>
        <w:pStyle w:val="OpiPara"/>
        <w:rPr>
          <w:i/>
          <w:lang w:eastAsia="en-US"/>
        </w:rPr>
      </w:pPr>
      <w:r>
        <w:t>Je prends note de la décision de la Cour d</w:t>
      </w:r>
      <w:r w:rsidR="00C419B2">
        <w:t>’</w:t>
      </w:r>
      <w:r>
        <w:t xml:space="preserve">allouer une somme assez modeste, à savoir 1 000 euros (EUR), </w:t>
      </w:r>
      <w:r w:rsidRPr="009B7C9A">
        <w:rPr>
          <w:u w:val="single"/>
        </w:rPr>
        <w:t>à chacune des familles</w:t>
      </w:r>
      <w:r>
        <w:t xml:space="preserve"> requérantes pour dommage moral. Je trouve cette approche objective et rationnelle, compte tenu de l</w:t>
      </w:r>
      <w:r w:rsidR="00C419B2">
        <w:t>’</w:t>
      </w:r>
      <w:r>
        <w:t xml:space="preserve">accent mis par la Cour sur les mesures générales nécessaires pour </w:t>
      </w:r>
      <w:r w:rsidRPr="0039584E">
        <w:t>intégrer des enfants</w:t>
      </w:r>
      <w:r>
        <w:t xml:space="preserve"> roms dans le système éducatif national. Cette approche contraste avec celle de la Cour adoptée dans les affaires </w:t>
      </w:r>
      <w:r w:rsidRPr="0039584E">
        <w:t xml:space="preserve">précédentes : 4 000 EUR </w:t>
      </w:r>
      <w:r w:rsidRPr="0039584E">
        <w:rPr>
          <w:u w:val="single"/>
        </w:rPr>
        <w:t>à chacun des requérants</w:t>
      </w:r>
      <w:r w:rsidRPr="0039584E">
        <w:t xml:space="preserve"> dans </w:t>
      </w:r>
      <w:r w:rsidRPr="0039584E">
        <w:rPr>
          <w:i/>
        </w:rPr>
        <w:t>D.H. et autres c. République tchèque</w:t>
      </w:r>
      <w:r w:rsidRPr="0039584E">
        <w:t xml:space="preserve"> [GC], n</w:t>
      </w:r>
      <w:r w:rsidRPr="0039584E">
        <w:rPr>
          <w:vertAlign w:val="superscript"/>
        </w:rPr>
        <w:t>o</w:t>
      </w:r>
      <w:r w:rsidRPr="0039584E">
        <w:t xml:space="preserve"> 57325/00, CEDH 2007-IV ; 4 500 EUR </w:t>
      </w:r>
      <w:r w:rsidRPr="0039584E">
        <w:rPr>
          <w:u w:val="single"/>
        </w:rPr>
        <w:t>à chacun</w:t>
      </w:r>
      <w:r w:rsidRPr="0039584E">
        <w:t xml:space="preserve"> dans </w:t>
      </w:r>
      <w:r w:rsidRPr="0039584E">
        <w:rPr>
          <w:i/>
          <w:lang w:eastAsia="en-US"/>
        </w:rPr>
        <w:t>Oršuš et autres c. Croatie</w:t>
      </w:r>
      <w:r w:rsidRPr="0039584E">
        <w:rPr>
          <w:lang w:eastAsia="en-US"/>
        </w:rPr>
        <w:t xml:space="preserve"> [GC], n</w:t>
      </w:r>
      <w:r w:rsidRPr="0039584E">
        <w:rPr>
          <w:vertAlign w:val="superscript"/>
          <w:lang w:eastAsia="en-US"/>
        </w:rPr>
        <w:t>o</w:t>
      </w:r>
      <w:r w:rsidRPr="0039584E">
        <w:rPr>
          <w:lang w:eastAsia="en-US"/>
        </w:rPr>
        <w:t xml:space="preserve"> 15766/03, CEDH 2010</w:t>
      </w:r>
      <w:r w:rsidRPr="0039584E">
        <w:t xml:space="preserve"> ; 6 000 EUR </w:t>
      </w:r>
      <w:r w:rsidRPr="0039584E">
        <w:rPr>
          <w:u w:val="single"/>
        </w:rPr>
        <w:t xml:space="preserve">à chacun </w:t>
      </w:r>
      <w:r w:rsidRPr="0039584E">
        <w:t xml:space="preserve">dans </w:t>
      </w:r>
      <w:r w:rsidRPr="0039584E">
        <w:rPr>
          <w:i/>
          <w:lang w:eastAsia="en-US"/>
        </w:rPr>
        <w:t>Sampanis et autres c. Grèce</w:t>
      </w:r>
      <w:r w:rsidRPr="0039584E">
        <w:rPr>
          <w:lang w:eastAsia="en-US"/>
        </w:rPr>
        <w:t>, n</w:t>
      </w:r>
      <w:r w:rsidRPr="0039584E">
        <w:rPr>
          <w:vertAlign w:val="superscript"/>
          <w:lang w:eastAsia="en-US"/>
        </w:rPr>
        <w:t>o</w:t>
      </w:r>
      <w:r w:rsidRPr="0039584E">
        <w:rPr>
          <w:lang w:eastAsia="en-US"/>
        </w:rPr>
        <w:t xml:space="preserve"> 32526/05, 5 juin 2008</w:t>
      </w:r>
      <w:r w:rsidRPr="0039584E">
        <w:t xml:space="preserve"> ; et 6 000 EUR </w:t>
      </w:r>
      <w:r w:rsidRPr="0039584E">
        <w:rPr>
          <w:u w:val="single"/>
        </w:rPr>
        <w:t>à chacun</w:t>
      </w:r>
      <w:r w:rsidRPr="0039584E">
        <w:t xml:space="preserve"> (enfants âgés de six ans au moment des faits et parents confondus) dans le récent arrêt </w:t>
      </w:r>
      <w:r w:rsidRPr="0039584E">
        <w:rPr>
          <w:i/>
          <w:szCs w:val="22"/>
          <w:lang w:eastAsia="en-US"/>
        </w:rPr>
        <w:t>Catan et autres c. République de Moldova et Russie</w:t>
      </w:r>
      <w:r w:rsidRPr="0039584E">
        <w:rPr>
          <w:szCs w:val="22"/>
          <w:lang w:eastAsia="en-US"/>
        </w:rPr>
        <w:t xml:space="preserve"> [GC], n</w:t>
      </w:r>
      <w:r w:rsidRPr="0039584E">
        <w:rPr>
          <w:szCs w:val="22"/>
          <w:vertAlign w:val="superscript"/>
          <w:lang w:eastAsia="en-US"/>
        </w:rPr>
        <w:t>os</w:t>
      </w:r>
      <w:r w:rsidRPr="0039584E">
        <w:rPr>
          <w:szCs w:val="22"/>
          <w:lang w:eastAsia="en-US"/>
        </w:rPr>
        <w:t xml:space="preserve"> 43370/04, 8252/05 et 18454/06</w:t>
      </w:r>
      <w:r w:rsidRPr="0039584E">
        <w:t>. Il n</w:t>
      </w:r>
      <w:r w:rsidR="00C419B2">
        <w:t>’</w:t>
      </w:r>
      <w:r w:rsidRPr="0039584E">
        <w:t>est jamais trop tard pour bien faire.</w:t>
      </w:r>
    </w:p>
    <w:p w:rsidR="009849E9" w:rsidRDefault="009849E9" w:rsidP="002F4A0B">
      <w:pPr>
        <w:pStyle w:val="JuPara"/>
      </w:pPr>
    </w:p>
    <w:p w:rsidR="00B136CA" w:rsidRDefault="00B136CA" w:rsidP="009849E9">
      <w:pPr>
        <w:pStyle w:val="JuPara"/>
        <w:jc w:val="center"/>
      </w:pPr>
    </w:p>
    <w:p w:rsidR="009849E9" w:rsidRDefault="009849E9" w:rsidP="009849E9">
      <w:pPr>
        <w:pStyle w:val="JuPara"/>
        <w:jc w:val="center"/>
      </w:pPr>
      <w:r>
        <w:br w:type="page"/>
      </w:r>
      <w:r w:rsidRPr="00CD3AE7">
        <w:rPr>
          <w:b/>
          <w:u w:val="single"/>
        </w:rPr>
        <w:t>ANNEXE</w:t>
      </w:r>
    </w:p>
    <w:p w:rsidR="00720AF8" w:rsidRDefault="00720AF8" w:rsidP="009849E9">
      <w:pPr>
        <w:pStyle w:val="JuPara"/>
        <w:jc w:val="center"/>
      </w:pPr>
    </w:p>
    <w:p w:rsidR="00CB71D8" w:rsidRDefault="00720AF8" w:rsidP="009849E9">
      <w:pPr>
        <w:pStyle w:val="JuPara"/>
        <w:jc w:val="center"/>
      </w:pPr>
      <w:r>
        <w:t>(Le terme « Ako » est utilisé par les requérants pour désigner les enfants dont le prénom n</w:t>
      </w:r>
      <w:r w:rsidR="00C419B2">
        <w:t>’</w:t>
      </w:r>
      <w:r>
        <w:t>est pas enregistré)</w:t>
      </w:r>
    </w:p>
    <w:p w:rsidR="00CB71D8" w:rsidRPr="00CB71D8" w:rsidRDefault="00CB71D8" w:rsidP="009849E9">
      <w:pPr>
        <w:pStyle w:val="JuPara"/>
        <w:jc w:val="center"/>
      </w:pPr>
    </w:p>
    <w:p w:rsidR="009849E9" w:rsidRPr="00CD3AE7" w:rsidRDefault="009849E9" w:rsidP="009849E9">
      <w:pPr>
        <w:pStyle w:val="JuPara"/>
        <w:rPr>
          <w:b/>
          <w:u w:val="single"/>
        </w:rPr>
      </w:pPr>
      <w:r w:rsidRPr="00CD3AE7">
        <w:rPr>
          <w:b/>
          <w:u w:val="single"/>
        </w:rPr>
        <w:t xml:space="preserve">Première famille </w:t>
      </w:r>
      <w:r w:rsidR="00394F8F">
        <w:rPr>
          <w:b/>
          <w:u w:val="single"/>
        </w:rPr>
        <w:t>(4 enfants et 2 parents)</w:t>
      </w:r>
    </w:p>
    <w:p w:rsidR="009849E9" w:rsidRPr="00CD3AE7" w:rsidRDefault="009849E9" w:rsidP="009849E9">
      <w:pPr>
        <w:pStyle w:val="JuPara"/>
      </w:pPr>
      <w:r w:rsidRPr="00CD3AE7">
        <w:t>1) Ioanna SAMPANI</w:t>
      </w:r>
      <w:r w:rsidR="00394F8F">
        <w:t>, née le 1</w:t>
      </w:r>
      <w:r w:rsidR="00394F8F" w:rsidRPr="00394F8F">
        <w:rPr>
          <w:vertAlign w:val="superscript"/>
        </w:rPr>
        <w:t>er</w:t>
      </w:r>
      <w:r w:rsidR="00394F8F">
        <w:t xml:space="preserve"> janvier 1994</w:t>
      </w:r>
    </w:p>
    <w:p w:rsidR="009849E9" w:rsidRPr="00CD3AE7" w:rsidRDefault="009849E9" w:rsidP="009849E9">
      <w:pPr>
        <w:pStyle w:val="JuPara"/>
      </w:pPr>
      <w:r w:rsidRPr="00CD3AE7">
        <w:t>2) Paraskevi SAMPANI</w:t>
      </w:r>
      <w:r w:rsidR="00394F8F">
        <w:t>, née le 15 avril 1995</w:t>
      </w:r>
    </w:p>
    <w:p w:rsidR="009849E9" w:rsidRPr="00394F8F" w:rsidRDefault="009849E9" w:rsidP="009849E9">
      <w:pPr>
        <w:pStyle w:val="JuPara"/>
      </w:pPr>
      <w:r w:rsidRPr="00394F8F">
        <w:t>3) Ioannis SAMPANIS</w:t>
      </w:r>
      <w:r w:rsidR="00394F8F" w:rsidRPr="00394F8F">
        <w:t>, né le 10 août 1996</w:t>
      </w:r>
    </w:p>
    <w:p w:rsidR="009849E9" w:rsidRPr="00394F8F" w:rsidRDefault="009849E9" w:rsidP="009849E9">
      <w:pPr>
        <w:pStyle w:val="JuPara"/>
      </w:pPr>
      <w:r w:rsidRPr="00394F8F">
        <w:t>4) Christos SAMPANIS</w:t>
      </w:r>
      <w:r w:rsidR="00394F8F" w:rsidRPr="00394F8F">
        <w:t>, né le 18 août 1999</w:t>
      </w:r>
    </w:p>
    <w:p w:rsidR="009849E9" w:rsidRPr="00394F8F" w:rsidRDefault="009849E9" w:rsidP="009849E9">
      <w:pPr>
        <w:pStyle w:val="JuPara"/>
      </w:pPr>
      <w:r w:rsidRPr="00394F8F">
        <w:t>5) Spyridon SAMPANIS</w:t>
      </w:r>
      <w:r w:rsidR="00394F8F" w:rsidRPr="00394F8F">
        <w:t>, né le 31août 1972</w:t>
      </w:r>
    </w:p>
    <w:p w:rsidR="009849E9" w:rsidRPr="00CD3AE7" w:rsidRDefault="009849E9" w:rsidP="009849E9">
      <w:pPr>
        <w:pStyle w:val="JuPara"/>
      </w:pPr>
      <w:r w:rsidRPr="00CD3AE7">
        <w:t>6) Vasiliki MORATI</w:t>
      </w:r>
      <w:r w:rsidR="00394F8F">
        <w:t>, née le 20 janvier 1976</w:t>
      </w:r>
    </w:p>
    <w:p w:rsidR="009849E9" w:rsidRPr="00CD3AE7" w:rsidRDefault="009849E9" w:rsidP="009849E9">
      <w:pPr>
        <w:pStyle w:val="JuPara"/>
        <w:rPr>
          <w:b/>
          <w:u w:val="single"/>
        </w:rPr>
      </w:pPr>
      <w:r w:rsidRPr="00CD3AE7">
        <w:rPr>
          <w:b/>
          <w:u w:val="single"/>
        </w:rPr>
        <w:t>Deuxième famille</w:t>
      </w:r>
      <w:r w:rsidR="00394F8F">
        <w:rPr>
          <w:b/>
          <w:u w:val="single"/>
        </w:rPr>
        <w:t xml:space="preserve"> (4 enfants et 2 tuteurs)</w:t>
      </w:r>
    </w:p>
    <w:p w:rsidR="009849E9" w:rsidRPr="00CD3AE7" w:rsidRDefault="009849E9" w:rsidP="009849E9">
      <w:pPr>
        <w:pStyle w:val="JuPara"/>
      </w:pPr>
      <w:r w:rsidRPr="00CD3AE7">
        <w:t>7) Aglaïa SAMPANI</w:t>
      </w:r>
      <w:r w:rsidR="00394F8F">
        <w:t>, née le 9 novembre 1994</w:t>
      </w:r>
    </w:p>
    <w:p w:rsidR="009849E9" w:rsidRPr="00394F8F" w:rsidRDefault="009849E9" w:rsidP="009849E9">
      <w:pPr>
        <w:pStyle w:val="JuPara"/>
      </w:pPr>
      <w:r w:rsidRPr="00394F8F">
        <w:t>8) Zografo SAMPANI</w:t>
      </w:r>
      <w:r w:rsidR="00394F8F" w:rsidRPr="00394F8F">
        <w:t>, née le 29 mars 1996</w:t>
      </w:r>
    </w:p>
    <w:p w:rsidR="009849E9" w:rsidRPr="00394F8F" w:rsidRDefault="009849E9" w:rsidP="009849E9">
      <w:pPr>
        <w:pStyle w:val="JuPara"/>
      </w:pPr>
      <w:r w:rsidRPr="00394F8F">
        <w:t>9) Andreas SAMPANIS</w:t>
      </w:r>
      <w:r w:rsidR="00394F8F" w:rsidRPr="00394F8F">
        <w:t>, né le 29 mars 1996</w:t>
      </w:r>
    </w:p>
    <w:p w:rsidR="009849E9" w:rsidRPr="00394F8F" w:rsidRDefault="009849E9" w:rsidP="009849E9">
      <w:pPr>
        <w:pStyle w:val="JuPara"/>
      </w:pPr>
      <w:r w:rsidRPr="00394F8F">
        <w:t>10) Georgia SAMPANI</w:t>
      </w:r>
      <w:r w:rsidR="00394F8F" w:rsidRPr="00394F8F">
        <w:t>, née le 29 mars 1996</w:t>
      </w:r>
    </w:p>
    <w:p w:rsidR="009849E9" w:rsidRPr="00CD3AE7" w:rsidRDefault="009849E9" w:rsidP="009849E9">
      <w:pPr>
        <w:pStyle w:val="JuPara"/>
      </w:pPr>
      <w:r w:rsidRPr="00CD3AE7">
        <w:t>11) Athanasios SAMPANIS</w:t>
      </w:r>
      <w:r w:rsidR="00394F8F">
        <w:t>, né le 20 mars 1942</w:t>
      </w:r>
    </w:p>
    <w:p w:rsidR="009849E9" w:rsidRPr="00CD3AE7" w:rsidRDefault="009849E9" w:rsidP="009849E9">
      <w:pPr>
        <w:pStyle w:val="JuPara"/>
      </w:pPr>
      <w:r w:rsidRPr="00CD3AE7">
        <w:t>12) Maria KARAGOUNI</w:t>
      </w:r>
      <w:r w:rsidR="00394F8F">
        <w:t>, née le 15 avril 1948</w:t>
      </w:r>
    </w:p>
    <w:p w:rsidR="009849E9" w:rsidRPr="00CD3AE7" w:rsidRDefault="009849E9" w:rsidP="009849E9">
      <w:pPr>
        <w:pStyle w:val="JuPara"/>
        <w:rPr>
          <w:b/>
          <w:u w:val="single"/>
        </w:rPr>
      </w:pPr>
      <w:r w:rsidRPr="00CD3AE7">
        <w:rPr>
          <w:b/>
          <w:u w:val="single"/>
        </w:rPr>
        <w:t xml:space="preserve">Troisième famille </w:t>
      </w:r>
      <w:r w:rsidR="00394F8F">
        <w:rPr>
          <w:b/>
          <w:u w:val="single"/>
        </w:rPr>
        <w:t>( 3 enfants et 2 parents)</w:t>
      </w:r>
    </w:p>
    <w:p w:rsidR="009849E9" w:rsidRPr="00CD3AE7" w:rsidRDefault="009849E9" w:rsidP="009849E9">
      <w:pPr>
        <w:pStyle w:val="JuPara"/>
      </w:pPr>
      <w:r w:rsidRPr="00CD3AE7">
        <w:t>13) Ioanna VELIOU</w:t>
      </w:r>
      <w:r w:rsidR="00394F8F">
        <w:t xml:space="preserve">, née le </w:t>
      </w:r>
      <w:r w:rsidR="009E355F">
        <w:t>30 mars 1994</w:t>
      </w:r>
    </w:p>
    <w:p w:rsidR="009849E9" w:rsidRPr="00CD3AE7" w:rsidRDefault="009849E9" w:rsidP="009849E9">
      <w:pPr>
        <w:pStyle w:val="JuPara"/>
      </w:pPr>
      <w:r w:rsidRPr="00CD3AE7">
        <w:t>14) Kyprianos VELIOS</w:t>
      </w:r>
      <w:r w:rsidR="009E355F">
        <w:t>, né le 22 mars 1995</w:t>
      </w:r>
    </w:p>
    <w:p w:rsidR="009849E9" w:rsidRPr="00CD3AE7" w:rsidRDefault="009849E9" w:rsidP="009849E9">
      <w:pPr>
        <w:pStyle w:val="JuPara"/>
      </w:pPr>
      <w:r w:rsidRPr="00CD3AE7">
        <w:t>15) Christina VELIOU</w:t>
      </w:r>
      <w:r w:rsidR="009E355F">
        <w:t>, née le 15 avril 2000</w:t>
      </w:r>
    </w:p>
    <w:p w:rsidR="009849E9" w:rsidRPr="00CD3AE7" w:rsidRDefault="009849E9" w:rsidP="009849E9">
      <w:pPr>
        <w:pStyle w:val="JuPara"/>
      </w:pPr>
      <w:r w:rsidRPr="00CD3AE7">
        <w:t>16) Nikolaos VELIOS</w:t>
      </w:r>
      <w:r w:rsidR="009E355F">
        <w:t>, né le 1</w:t>
      </w:r>
      <w:r w:rsidR="009E355F" w:rsidRPr="009E355F">
        <w:rPr>
          <w:vertAlign w:val="superscript"/>
        </w:rPr>
        <w:t>er</w:t>
      </w:r>
      <w:r w:rsidR="009E355F">
        <w:t xml:space="preserve"> mars 1966</w:t>
      </w:r>
    </w:p>
    <w:p w:rsidR="009849E9" w:rsidRPr="00CD3AE7" w:rsidRDefault="009849E9" w:rsidP="009849E9">
      <w:pPr>
        <w:pStyle w:val="JuPara"/>
      </w:pPr>
      <w:r w:rsidRPr="00CD3AE7">
        <w:t>17) Maria KARAHALIOU</w:t>
      </w:r>
      <w:r w:rsidR="009E355F">
        <w:t>, née le 15 mars 1970</w:t>
      </w:r>
    </w:p>
    <w:p w:rsidR="009849E9" w:rsidRPr="00CD3AE7" w:rsidRDefault="009849E9" w:rsidP="009849E9">
      <w:pPr>
        <w:pStyle w:val="JuPara"/>
        <w:rPr>
          <w:b/>
          <w:u w:val="single"/>
        </w:rPr>
      </w:pPr>
      <w:r w:rsidRPr="00CD3AE7">
        <w:rPr>
          <w:b/>
          <w:u w:val="single"/>
        </w:rPr>
        <w:t>Quatrième famille</w:t>
      </w:r>
      <w:r w:rsidR="009E355F">
        <w:rPr>
          <w:b/>
          <w:u w:val="single"/>
        </w:rPr>
        <w:t xml:space="preserve"> (4 enfant et 1 parent)</w:t>
      </w:r>
    </w:p>
    <w:p w:rsidR="009849E9" w:rsidRPr="00CD3AE7" w:rsidRDefault="009849E9" w:rsidP="009849E9">
      <w:pPr>
        <w:pStyle w:val="JuPara"/>
      </w:pPr>
      <w:r w:rsidRPr="00CD3AE7">
        <w:t>18) Chrysovalanto KARAHALIOU</w:t>
      </w:r>
      <w:r w:rsidR="009E355F">
        <w:t>, née le 24 décembre 1995</w:t>
      </w:r>
    </w:p>
    <w:p w:rsidR="009849E9" w:rsidRPr="00CD3AE7" w:rsidRDefault="009849E9" w:rsidP="009849E9">
      <w:pPr>
        <w:pStyle w:val="JuPara"/>
      </w:pPr>
      <w:r w:rsidRPr="00CD3AE7">
        <w:t>19) Paraskevi-Aikaterini KARAHALIOU</w:t>
      </w:r>
      <w:r w:rsidR="009E355F">
        <w:t>, née le 6 juin 1998</w:t>
      </w:r>
    </w:p>
    <w:p w:rsidR="009849E9" w:rsidRPr="00CD3AE7" w:rsidRDefault="009849E9" w:rsidP="009849E9">
      <w:pPr>
        <w:pStyle w:val="JuPara"/>
      </w:pPr>
      <w:r w:rsidRPr="00CD3AE7">
        <w:t>20)</w:t>
      </w:r>
      <w:r w:rsidR="00386AA9">
        <w:t xml:space="preserve"> « </w:t>
      </w:r>
      <w:r w:rsidRPr="00CD3AE7">
        <w:t>Ako</w:t>
      </w:r>
      <w:r w:rsidR="00386AA9">
        <w:t xml:space="preserve"> » </w:t>
      </w:r>
      <w:r w:rsidRPr="00CD3AE7">
        <w:t>KARAHALIOS</w:t>
      </w:r>
      <w:r w:rsidR="009E355F">
        <w:t>, né le 27 août 1999</w:t>
      </w:r>
    </w:p>
    <w:p w:rsidR="009849E9" w:rsidRPr="00CD3AE7" w:rsidRDefault="009849E9" w:rsidP="009849E9">
      <w:pPr>
        <w:pStyle w:val="JuPara"/>
      </w:pPr>
      <w:r w:rsidRPr="00CD3AE7">
        <w:t>21)</w:t>
      </w:r>
      <w:r w:rsidR="00386AA9">
        <w:t xml:space="preserve"> « </w:t>
      </w:r>
      <w:r w:rsidRPr="00CD3AE7">
        <w:t>Ako</w:t>
      </w:r>
      <w:r w:rsidR="00386AA9">
        <w:t xml:space="preserve"> » </w:t>
      </w:r>
      <w:r w:rsidRPr="00CD3AE7">
        <w:t>KARAHALIOS</w:t>
      </w:r>
      <w:r w:rsidR="009E355F">
        <w:t>, né le 16 novembre 2000</w:t>
      </w:r>
    </w:p>
    <w:p w:rsidR="009849E9" w:rsidRPr="00CD3AE7" w:rsidRDefault="009849E9" w:rsidP="009849E9">
      <w:pPr>
        <w:pStyle w:val="JuPara"/>
      </w:pPr>
      <w:r w:rsidRPr="00CD3AE7">
        <w:t>22) Vasiliki KOURAKI</w:t>
      </w:r>
      <w:r w:rsidR="009E355F">
        <w:t>, née le 29 novembre 1976</w:t>
      </w:r>
    </w:p>
    <w:p w:rsidR="009849E9" w:rsidRPr="00CD3AE7" w:rsidRDefault="009849E9" w:rsidP="009849E9">
      <w:pPr>
        <w:pStyle w:val="JuPara"/>
        <w:rPr>
          <w:b/>
          <w:u w:val="single"/>
        </w:rPr>
      </w:pPr>
      <w:r w:rsidRPr="00CD3AE7">
        <w:rPr>
          <w:b/>
          <w:u w:val="single"/>
        </w:rPr>
        <w:t>Cinquième famille</w:t>
      </w:r>
      <w:r w:rsidR="009E355F">
        <w:rPr>
          <w:b/>
          <w:u w:val="single"/>
        </w:rPr>
        <w:t xml:space="preserve"> (5 enfants et 1 parent)</w:t>
      </w:r>
    </w:p>
    <w:p w:rsidR="009849E9" w:rsidRPr="00CD3AE7" w:rsidRDefault="009849E9" w:rsidP="009849E9">
      <w:pPr>
        <w:pStyle w:val="JuPara"/>
      </w:pPr>
      <w:r w:rsidRPr="00CD3AE7">
        <w:t>23) Panayotis LIAKOPOULOS</w:t>
      </w:r>
      <w:r w:rsidR="009E355F">
        <w:t>, né le 16 mai 1995</w:t>
      </w:r>
    </w:p>
    <w:p w:rsidR="009849E9" w:rsidRPr="00564735" w:rsidRDefault="009849E9" w:rsidP="009849E9">
      <w:pPr>
        <w:pStyle w:val="JuPara"/>
      </w:pPr>
      <w:r w:rsidRPr="00564735">
        <w:t>24) Georgios LIAKOPOULOS</w:t>
      </w:r>
      <w:r w:rsidR="009E355F">
        <w:t>, né le 2 février 1997</w:t>
      </w:r>
    </w:p>
    <w:p w:rsidR="009849E9" w:rsidRPr="00564735" w:rsidRDefault="009849E9" w:rsidP="009849E9">
      <w:pPr>
        <w:pStyle w:val="JuPara"/>
      </w:pPr>
      <w:r w:rsidRPr="00564735">
        <w:t xml:space="preserve">25) </w:t>
      </w:r>
      <w:r>
        <w:t>« </w:t>
      </w:r>
      <w:r w:rsidRPr="00564735">
        <w:t>Ako</w:t>
      </w:r>
      <w:r>
        <w:t> »</w:t>
      </w:r>
      <w:r w:rsidRPr="00564735">
        <w:t xml:space="preserve"> LIAKOPOULOU</w:t>
      </w:r>
      <w:r w:rsidR="009E355F">
        <w:t xml:space="preserve">, </w:t>
      </w:r>
      <w:r w:rsidR="003E7FF4">
        <w:t>née le 30 mars 1998</w:t>
      </w:r>
    </w:p>
    <w:p w:rsidR="009849E9" w:rsidRPr="00564735" w:rsidRDefault="009849E9" w:rsidP="009849E9">
      <w:pPr>
        <w:pStyle w:val="JuPara"/>
      </w:pPr>
      <w:r w:rsidRPr="00564735">
        <w:t>26) Gerasimos LIAKOPOULOS</w:t>
      </w:r>
      <w:r w:rsidR="003E7FF4">
        <w:t>, né le 4 mai 2000</w:t>
      </w:r>
    </w:p>
    <w:p w:rsidR="009849E9" w:rsidRDefault="009849E9" w:rsidP="009849E9">
      <w:pPr>
        <w:pStyle w:val="JuPara"/>
      </w:pPr>
      <w:r>
        <w:t>27) « Ako » LIAKOPOULOU</w:t>
      </w:r>
      <w:r w:rsidR="003E7FF4">
        <w:t>, née le 10 août 2002</w:t>
      </w:r>
    </w:p>
    <w:p w:rsidR="009849E9" w:rsidRDefault="009849E9" w:rsidP="009849E9">
      <w:pPr>
        <w:pStyle w:val="JuPara"/>
      </w:pPr>
      <w:r>
        <w:t>28) Eleni LIAKOPOULOU</w:t>
      </w:r>
      <w:r w:rsidR="003E7FF4">
        <w:t>, née le 26 mars 1977</w:t>
      </w:r>
    </w:p>
    <w:p w:rsidR="009849E9" w:rsidRPr="00FC7151" w:rsidRDefault="009849E9" w:rsidP="009849E9">
      <w:pPr>
        <w:pStyle w:val="JuPara"/>
        <w:rPr>
          <w:b/>
          <w:u w:val="single"/>
        </w:rPr>
      </w:pPr>
      <w:r w:rsidRPr="00FC7151">
        <w:rPr>
          <w:b/>
          <w:u w:val="single"/>
        </w:rPr>
        <w:t>Sixième famille</w:t>
      </w:r>
      <w:r w:rsidR="003E7FF4">
        <w:rPr>
          <w:b/>
          <w:u w:val="single"/>
        </w:rPr>
        <w:t xml:space="preserve"> (1 enfant et deux parents)</w:t>
      </w:r>
    </w:p>
    <w:p w:rsidR="009849E9" w:rsidRDefault="009849E9" w:rsidP="009849E9">
      <w:pPr>
        <w:pStyle w:val="JuPara"/>
      </w:pPr>
      <w:r>
        <w:t>29) Kyriakos SAMPANIS</w:t>
      </w:r>
      <w:r w:rsidR="003E7FF4">
        <w:t>, né le 30 avril 1996</w:t>
      </w:r>
    </w:p>
    <w:p w:rsidR="009849E9" w:rsidRDefault="009849E9" w:rsidP="009849E9">
      <w:pPr>
        <w:pStyle w:val="JuPara"/>
      </w:pPr>
      <w:r>
        <w:t>30) Sotirios SAMPANIS</w:t>
      </w:r>
      <w:r w:rsidR="003E7FF4">
        <w:t>, né le 1</w:t>
      </w:r>
      <w:r w:rsidR="003E7FF4" w:rsidRPr="003E7FF4">
        <w:rPr>
          <w:vertAlign w:val="superscript"/>
        </w:rPr>
        <w:t>er</w:t>
      </w:r>
      <w:r w:rsidR="003E7FF4">
        <w:t xml:space="preserve"> janvier 1970</w:t>
      </w:r>
    </w:p>
    <w:p w:rsidR="00311E7D" w:rsidRDefault="009849E9" w:rsidP="009849E9">
      <w:pPr>
        <w:pStyle w:val="JuPara"/>
      </w:pPr>
      <w:r>
        <w:t>31) Aikaterini KARAHALIOU</w:t>
      </w:r>
      <w:r w:rsidR="003E7FF4">
        <w:t>, née le 25 juin 1970</w:t>
      </w:r>
    </w:p>
    <w:p w:rsidR="00311E7D" w:rsidRDefault="00311E7D" w:rsidP="009849E9">
      <w:pPr>
        <w:pStyle w:val="JuPara"/>
        <w:sectPr w:rsidR="00311E7D" w:rsidSect="00B136CA">
          <w:headerReference w:type="even" r:id="rId15"/>
          <w:headerReference w:type="default" r:id="rId16"/>
          <w:footnotePr>
            <w:numRestart w:val="eachPage"/>
          </w:footnotePr>
          <w:pgSz w:w="11906" w:h="16838" w:code="9"/>
          <w:pgMar w:top="2274" w:right="2274" w:bottom="2274" w:left="2274" w:header="1701" w:footer="720" w:gutter="0"/>
          <w:cols w:space="720"/>
          <w:docGrid w:linePitch="326"/>
        </w:sectPr>
      </w:pPr>
    </w:p>
    <w:p w:rsidR="009849E9" w:rsidRPr="00FC7151" w:rsidRDefault="009849E9" w:rsidP="009202F2">
      <w:pPr>
        <w:pStyle w:val="JuPara"/>
        <w:keepNext/>
        <w:keepLines/>
        <w:rPr>
          <w:b/>
          <w:u w:val="single"/>
        </w:rPr>
      </w:pPr>
      <w:r w:rsidRPr="00FC7151">
        <w:rPr>
          <w:b/>
          <w:u w:val="single"/>
        </w:rPr>
        <w:t>Sept</w:t>
      </w:r>
      <w:r w:rsidR="003E7FF4">
        <w:rPr>
          <w:b/>
          <w:u w:val="single"/>
        </w:rPr>
        <w:t>i</w:t>
      </w:r>
      <w:r w:rsidRPr="00FC7151">
        <w:rPr>
          <w:b/>
          <w:u w:val="single"/>
        </w:rPr>
        <w:t>ème famille</w:t>
      </w:r>
      <w:r w:rsidR="003E7FF4">
        <w:rPr>
          <w:b/>
          <w:u w:val="single"/>
        </w:rPr>
        <w:t xml:space="preserve"> (1 enfant et 1 parent)</w:t>
      </w:r>
    </w:p>
    <w:p w:rsidR="009849E9" w:rsidRDefault="009849E9" w:rsidP="009202F2">
      <w:pPr>
        <w:pStyle w:val="JuPara"/>
        <w:keepNext/>
        <w:keepLines/>
      </w:pPr>
      <w:r>
        <w:t>32) « Ako » PASIOS</w:t>
      </w:r>
      <w:r w:rsidR="003E7FF4">
        <w:t>, né le 22 mars 2004</w:t>
      </w:r>
    </w:p>
    <w:p w:rsidR="009849E9" w:rsidRPr="00CD3AE7" w:rsidRDefault="009849E9" w:rsidP="009202F2">
      <w:pPr>
        <w:pStyle w:val="JuPara"/>
        <w:keepNext/>
        <w:keepLines/>
      </w:pPr>
      <w:r w:rsidRPr="00CD3AE7">
        <w:t>33) Maria-Patra PASIOU</w:t>
      </w:r>
      <w:r w:rsidR="003E7FF4">
        <w:t>, née le 29 septembre 1985</w:t>
      </w:r>
    </w:p>
    <w:p w:rsidR="009849E9" w:rsidRPr="00CD3AE7" w:rsidRDefault="009849E9" w:rsidP="009849E9">
      <w:pPr>
        <w:pStyle w:val="JuPara"/>
        <w:rPr>
          <w:b/>
          <w:u w:val="single"/>
        </w:rPr>
      </w:pPr>
      <w:r w:rsidRPr="00CD3AE7">
        <w:rPr>
          <w:b/>
          <w:u w:val="single"/>
        </w:rPr>
        <w:t>Huitième famille</w:t>
      </w:r>
      <w:r w:rsidR="003E7FF4">
        <w:rPr>
          <w:b/>
          <w:u w:val="single"/>
        </w:rPr>
        <w:t xml:space="preserve"> (3 enfants et 1 parent)</w:t>
      </w:r>
    </w:p>
    <w:p w:rsidR="009849E9" w:rsidRPr="00CD3AE7" w:rsidRDefault="009849E9" w:rsidP="009849E9">
      <w:pPr>
        <w:pStyle w:val="JuPara"/>
      </w:pPr>
      <w:r w:rsidRPr="00CD3AE7">
        <w:t>34) Georgios KARAGOUNIS</w:t>
      </w:r>
      <w:r w:rsidR="003E7FF4">
        <w:t>, né le 26 octobre 1994</w:t>
      </w:r>
    </w:p>
    <w:p w:rsidR="009849E9" w:rsidRPr="00CD3AE7" w:rsidRDefault="009849E9" w:rsidP="009849E9">
      <w:pPr>
        <w:pStyle w:val="JuPara"/>
      </w:pPr>
      <w:r w:rsidRPr="00CD3AE7">
        <w:t>35) Nikolaos KARAGOUNIS</w:t>
      </w:r>
      <w:r w:rsidR="003E7FF4">
        <w:t>, né le 23 juin 1999</w:t>
      </w:r>
    </w:p>
    <w:p w:rsidR="009849E9" w:rsidRPr="00057E91" w:rsidRDefault="009849E9" w:rsidP="009849E9">
      <w:pPr>
        <w:pStyle w:val="JuPara"/>
      </w:pPr>
      <w:r w:rsidRPr="00057E91">
        <w:t>36) Tsabika KARAGOUNI</w:t>
      </w:r>
      <w:r w:rsidR="003E7FF4">
        <w:t>, née le 9 juin 2002</w:t>
      </w:r>
    </w:p>
    <w:p w:rsidR="009849E9" w:rsidRDefault="009849E9" w:rsidP="009849E9">
      <w:pPr>
        <w:pStyle w:val="JuPara"/>
      </w:pPr>
      <w:r w:rsidRPr="00057E91">
        <w:t>37) Vasilios KARAGOUNIS</w:t>
      </w:r>
      <w:r w:rsidR="003E7FF4">
        <w:t>, né le 13 mai 1975</w:t>
      </w:r>
    </w:p>
    <w:p w:rsidR="009849E9" w:rsidRPr="00FC7151" w:rsidRDefault="009849E9" w:rsidP="009849E9">
      <w:pPr>
        <w:pStyle w:val="JuPara"/>
        <w:rPr>
          <w:b/>
          <w:u w:val="single"/>
        </w:rPr>
      </w:pPr>
      <w:r w:rsidRPr="00FC7151">
        <w:rPr>
          <w:b/>
          <w:u w:val="single"/>
        </w:rPr>
        <w:t>Neuvième famille</w:t>
      </w:r>
      <w:r w:rsidR="003E7FF4">
        <w:rPr>
          <w:b/>
          <w:u w:val="single"/>
        </w:rPr>
        <w:t xml:space="preserve"> (1 enfant et 1 parent)</w:t>
      </w:r>
    </w:p>
    <w:p w:rsidR="009849E9" w:rsidRPr="00057E91" w:rsidRDefault="009849E9" w:rsidP="009849E9">
      <w:pPr>
        <w:pStyle w:val="JuPara"/>
      </w:pPr>
      <w:r w:rsidRPr="00057E91">
        <w:t>38) Panayota PASIOU</w:t>
      </w:r>
      <w:r w:rsidR="003E7FF4">
        <w:t>, née le 27 février 2002</w:t>
      </w:r>
    </w:p>
    <w:p w:rsidR="009849E9" w:rsidRDefault="009849E9" w:rsidP="009849E9">
      <w:pPr>
        <w:pStyle w:val="JuPara"/>
      </w:pPr>
      <w:r>
        <w:t>39) Sofia PASIOU</w:t>
      </w:r>
      <w:r w:rsidR="003E7FF4">
        <w:t>, née le 21 août 1981</w:t>
      </w:r>
    </w:p>
    <w:p w:rsidR="009849E9" w:rsidRPr="00FC7151" w:rsidRDefault="009849E9" w:rsidP="009849E9">
      <w:pPr>
        <w:pStyle w:val="JuPara"/>
        <w:rPr>
          <w:b/>
          <w:u w:val="single"/>
        </w:rPr>
      </w:pPr>
      <w:r w:rsidRPr="00FC7151">
        <w:rPr>
          <w:b/>
          <w:u w:val="single"/>
        </w:rPr>
        <w:t>Dixième famille</w:t>
      </w:r>
      <w:r w:rsidR="00121B0A">
        <w:rPr>
          <w:b/>
          <w:u w:val="single"/>
        </w:rPr>
        <w:t xml:space="preserve"> (4 enfants et 1 parent)</w:t>
      </w:r>
    </w:p>
    <w:p w:rsidR="009849E9" w:rsidRDefault="009849E9" w:rsidP="009849E9">
      <w:pPr>
        <w:pStyle w:val="JuPara"/>
      </w:pPr>
      <w:r>
        <w:t>40) Ioanna BANDI</w:t>
      </w:r>
      <w:r w:rsidR="00121B0A">
        <w:t>, née le 28 mai 1995</w:t>
      </w:r>
    </w:p>
    <w:p w:rsidR="009849E9" w:rsidRDefault="009849E9" w:rsidP="009849E9">
      <w:pPr>
        <w:pStyle w:val="JuPara"/>
      </w:pPr>
      <w:r>
        <w:t>41) « Ako » BANDI</w:t>
      </w:r>
      <w:r w:rsidR="00121B0A">
        <w:t>, née le 10 juillet 1996</w:t>
      </w:r>
    </w:p>
    <w:p w:rsidR="009849E9" w:rsidRPr="003713D0" w:rsidRDefault="009849E9" w:rsidP="009849E9">
      <w:pPr>
        <w:pStyle w:val="JuPara"/>
      </w:pPr>
      <w:r w:rsidRPr="003713D0">
        <w:t>42) « Ako » BANDI</w:t>
      </w:r>
      <w:r w:rsidR="00121B0A">
        <w:t>, née le 5 décembre 1997</w:t>
      </w:r>
    </w:p>
    <w:p w:rsidR="009849E9" w:rsidRPr="003713D0" w:rsidRDefault="009849E9" w:rsidP="009849E9">
      <w:pPr>
        <w:pStyle w:val="JuPara"/>
      </w:pPr>
      <w:r w:rsidRPr="003713D0">
        <w:t>43) Ilias BANDIS</w:t>
      </w:r>
      <w:r w:rsidR="00121B0A">
        <w:t>, né le 23 juillet 1999</w:t>
      </w:r>
    </w:p>
    <w:p w:rsidR="009849E9" w:rsidRDefault="009849E9" w:rsidP="009849E9">
      <w:pPr>
        <w:pStyle w:val="JuPara"/>
      </w:pPr>
      <w:r w:rsidRPr="003713D0">
        <w:t>44) Magdalini LAZOU</w:t>
      </w:r>
      <w:r w:rsidR="00121B0A">
        <w:t>, née le 9 décembre 1979</w:t>
      </w:r>
    </w:p>
    <w:p w:rsidR="009849E9" w:rsidRPr="00FC7151" w:rsidRDefault="009849E9" w:rsidP="009849E9">
      <w:pPr>
        <w:pStyle w:val="JuPara"/>
        <w:rPr>
          <w:b/>
          <w:u w:val="single"/>
        </w:rPr>
      </w:pPr>
      <w:r w:rsidRPr="00FC7151">
        <w:rPr>
          <w:b/>
          <w:u w:val="single"/>
        </w:rPr>
        <w:t>Onzième famille</w:t>
      </w:r>
      <w:r w:rsidR="00121B0A">
        <w:rPr>
          <w:b/>
          <w:u w:val="single"/>
        </w:rPr>
        <w:t xml:space="preserve"> (6 enfants et 1 parent)</w:t>
      </w:r>
    </w:p>
    <w:p w:rsidR="009849E9" w:rsidRDefault="009849E9" w:rsidP="009849E9">
      <w:pPr>
        <w:pStyle w:val="JuPara"/>
      </w:pPr>
      <w:r>
        <w:t>45) Evangelia PASIOU</w:t>
      </w:r>
      <w:r w:rsidR="00121B0A">
        <w:t>, née le 2 janvier 1995</w:t>
      </w:r>
    </w:p>
    <w:p w:rsidR="009849E9" w:rsidRDefault="009849E9" w:rsidP="009849E9">
      <w:pPr>
        <w:pStyle w:val="JuPara"/>
      </w:pPr>
      <w:r>
        <w:t>46) Vasiliki PASIOU</w:t>
      </w:r>
      <w:r w:rsidR="00121B0A">
        <w:t>, née le 13 décembre 1995</w:t>
      </w:r>
    </w:p>
    <w:p w:rsidR="009849E9" w:rsidRPr="00121B0A" w:rsidRDefault="009849E9" w:rsidP="009849E9">
      <w:pPr>
        <w:pStyle w:val="JuPara"/>
      </w:pPr>
      <w:r w:rsidRPr="00121B0A">
        <w:t>47) Mariana PASIOU</w:t>
      </w:r>
      <w:r w:rsidR="00121B0A" w:rsidRPr="00121B0A">
        <w:t>, née le 20 septembre 1996</w:t>
      </w:r>
    </w:p>
    <w:p w:rsidR="009849E9" w:rsidRPr="00121B0A" w:rsidRDefault="009849E9" w:rsidP="009849E9">
      <w:pPr>
        <w:pStyle w:val="JuPara"/>
      </w:pPr>
      <w:r w:rsidRPr="00121B0A">
        <w:t>48) « Ako » PASIOU</w:t>
      </w:r>
      <w:r w:rsidR="00121B0A" w:rsidRPr="00121B0A">
        <w:t>, née le 23 juillet 1997</w:t>
      </w:r>
    </w:p>
    <w:p w:rsidR="009849E9" w:rsidRPr="00121B0A" w:rsidRDefault="009849E9" w:rsidP="009849E9">
      <w:pPr>
        <w:pStyle w:val="JuPara"/>
      </w:pPr>
      <w:r w:rsidRPr="00121B0A">
        <w:t>49) « Ako » PASIOS</w:t>
      </w:r>
      <w:r w:rsidR="00121B0A" w:rsidRPr="00121B0A">
        <w:t>, né le 26 août 2000</w:t>
      </w:r>
    </w:p>
    <w:p w:rsidR="009849E9" w:rsidRPr="00CD3AE7" w:rsidRDefault="009849E9" w:rsidP="009849E9">
      <w:pPr>
        <w:pStyle w:val="JuPara"/>
      </w:pPr>
      <w:r w:rsidRPr="00CD3AE7">
        <w:t xml:space="preserve">50) </w:t>
      </w:r>
      <w:r w:rsidR="003713D0" w:rsidRPr="00BC3A4B">
        <w:t>« </w:t>
      </w:r>
      <w:r w:rsidRPr="00CD3AE7">
        <w:t>Ako</w:t>
      </w:r>
      <w:r w:rsidR="003713D0" w:rsidRPr="00BC3A4B">
        <w:t> »</w:t>
      </w:r>
      <w:r w:rsidRPr="00CD3AE7">
        <w:t xml:space="preserve"> PASIOS</w:t>
      </w:r>
      <w:r w:rsidR="00121B0A">
        <w:t>, né le 16 janvier 2003</w:t>
      </w:r>
    </w:p>
    <w:p w:rsidR="009849E9" w:rsidRPr="00CD3AE7" w:rsidRDefault="009849E9" w:rsidP="009849E9">
      <w:pPr>
        <w:pStyle w:val="JuPara"/>
      </w:pPr>
      <w:r w:rsidRPr="00CD3AE7">
        <w:t>51) Maria SIAMPANI</w:t>
      </w:r>
      <w:r w:rsidR="00121B0A">
        <w:t>, née le 14 mai 1980</w:t>
      </w:r>
    </w:p>
    <w:p w:rsidR="009849E9" w:rsidRPr="00CD3AE7" w:rsidRDefault="009849E9" w:rsidP="009849E9">
      <w:pPr>
        <w:pStyle w:val="JuPara"/>
        <w:rPr>
          <w:b/>
          <w:u w:val="single"/>
        </w:rPr>
      </w:pPr>
      <w:r w:rsidRPr="00CD3AE7">
        <w:rPr>
          <w:b/>
          <w:u w:val="single"/>
        </w:rPr>
        <w:t>Douzième famille</w:t>
      </w:r>
      <w:r w:rsidR="00121B0A">
        <w:rPr>
          <w:b/>
          <w:u w:val="single"/>
        </w:rPr>
        <w:t xml:space="preserve"> (2 enfants et 1 parent)</w:t>
      </w:r>
    </w:p>
    <w:p w:rsidR="009849E9" w:rsidRPr="00CD3AE7" w:rsidRDefault="009849E9" w:rsidP="009849E9">
      <w:pPr>
        <w:pStyle w:val="JuPara"/>
      </w:pPr>
      <w:r w:rsidRPr="00CD3AE7">
        <w:t>52) Ioannis SAMPANIS</w:t>
      </w:r>
      <w:r w:rsidR="00121B0A">
        <w:t>, né le 27 juin 1999</w:t>
      </w:r>
    </w:p>
    <w:p w:rsidR="009849E9" w:rsidRPr="00CD3AE7" w:rsidRDefault="009849E9" w:rsidP="009849E9">
      <w:pPr>
        <w:pStyle w:val="JuPara"/>
      </w:pPr>
      <w:r w:rsidRPr="00CD3AE7">
        <w:t xml:space="preserve">53) </w:t>
      </w:r>
      <w:r w:rsidR="003713D0">
        <w:t>« </w:t>
      </w:r>
      <w:r w:rsidRPr="00CD3AE7">
        <w:t>Ako</w:t>
      </w:r>
      <w:r w:rsidR="003713D0" w:rsidRPr="00BC3A4B">
        <w:t> »</w:t>
      </w:r>
      <w:r w:rsidRPr="00CD3AE7">
        <w:t xml:space="preserve"> SAMPANIS</w:t>
      </w:r>
      <w:r w:rsidR="00121B0A">
        <w:t>, né le 19 juillet 2001</w:t>
      </w:r>
    </w:p>
    <w:p w:rsidR="009849E9" w:rsidRPr="00CD3AE7" w:rsidRDefault="009849E9" w:rsidP="009849E9">
      <w:pPr>
        <w:pStyle w:val="JuPara"/>
      </w:pPr>
      <w:r w:rsidRPr="00CD3AE7">
        <w:t>54) Christina LIATIFI</w:t>
      </w:r>
      <w:r w:rsidR="00121B0A">
        <w:t>, née le 15 décembre 1983</w:t>
      </w:r>
    </w:p>
    <w:p w:rsidR="009849E9" w:rsidRPr="00CD3AE7" w:rsidRDefault="009849E9" w:rsidP="009849E9">
      <w:pPr>
        <w:pStyle w:val="JuPara"/>
        <w:rPr>
          <w:b/>
          <w:u w:val="single"/>
        </w:rPr>
      </w:pPr>
      <w:r w:rsidRPr="00CD3AE7">
        <w:rPr>
          <w:b/>
          <w:u w:val="single"/>
        </w:rPr>
        <w:t>Treizième famille</w:t>
      </w:r>
      <w:r w:rsidR="00121B0A">
        <w:rPr>
          <w:b/>
          <w:u w:val="single"/>
        </w:rPr>
        <w:t xml:space="preserve"> (5 enfants et 1 parent)</w:t>
      </w:r>
    </w:p>
    <w:p w:rsidR="009849E9" w:rsidRPr="00121B0A" w:rsidRDefault="009849E9" w:rsidP="009849E9">
      <w:pPr>
        <w:pStyle w:val="JuPara"/>
      </w:pPr>
      <w:r w:rsidRPr="00121B0A">
        <w:t>55) Anastasia SIAMPANI</w:t>
      </w:r>
      <w:r w:rsidR="00121B0A" w:rsidRPr="00121B0A">
        <w:t>, née le 2 août 1999</w:t>
      </w:r>
    </w:p>
    <w:p w:rsidR="009849E9" w:rsidRPr="00121B0A" w:rsidRDefault="009849E9" w:rsidP="009849E9">
      <w:pPr>
        <w:pStyle w:val="JuPara"/>
      </w:pPr>
      <w:r w:rsidRPr="00121B0A">
        <w:t>56) Vasiliki SIAMPANI</w:t>
      </w:r>
      <w:r w:rsidR="00121B0A" w:rsidRPr="00121B0A">
        <w:t>, née le 10 mars 1992</w:t>
      </w:r>
    </w:p>
    <w:p w:rsidR="009849E9" w:rsidRPr="00121B0A" w:rsidRDefault="009849E9" w:rsidP="009849E9">
      <w:pPr>
        <w:pStyle w:val="JuPara"/>
      </w:pPr>
      <w:r w:rsidRPr="00121B0A">
        <w:t xml:space="preserve">57) </w:t>
      </w:r>
      <w:r w:rsidR="003713D0" w:rsidRPr="00121B0A">
        <w:t>« </w:t>
      </w:r>
      <w:r w:rsidRPr="00121B0A">
        <w:t>Ako</w:t>
      </w:r>
      <w:r w:rsidR="003713D0" w:rsidRPr="00121B0A">
        <w:t> »</w:t>
      </w:r>
      <w:r w:rsidRPr="00121B0A">
        <w:t xml:space="preserve"> SIAMPANI</w:t>
      </w:r>
      <w:r w:rsidR="00121B0A" w:rsidRPr="00121B0A">
        <w:t>, née le 5 juillet 1994</w:t>
      </w:r>
    </w:p>
    <w:p w:rsidR="009849E9" w:rsidRPr="00CB1143" w:rsidRDefault="009849E9" w:rsidP="009849E9">
      <w:pPr>
        <w:pStyle w:val="JuPara"/>
      </w:pPr>
      <w:r w:rsidRPr="00CB1143">
        <w:t xml:space="preserve">58) </w:t>
      </w:r>
      <w:r w:rsidR="003713D0" w:rsidRPr="00CB1143">
        <w:t>« </w:t>
      </w:r>
      <w:r w:rsidRPr="00CB1143">
        <w:t>Ako</w:t>
      </w:r>
      <w:r w:rsidR="003713D0" w:rsidRPr="00CB1143">
        <w:t> »</w:t>
      </w:r>
      <w:r w:rsidRPr="00CB1143">
        <w:t xml:space="preserve"> SIAMPANI</w:t>
      </w:r>
      <w:r w:rsidR="00CB1143" w:rsidRPr="00CB1143">
        <w:t>, née le 5 juillet 1994</w:t>
      </w:r>
    </w:p>
    <w:p w:rsidR="009849E9" w:rsidRPr="00CB1143" w:rsidRDefault="009849E9" w:rsidP="009849E9">
      <w:pPr>
        <w:pStyle w:val="JuPara"/>
      </w:pPr>
      <w:r w:rsidRPr="00CB1143">
        <w:t xml:space="preserve">59) </w:t>
      </w:r>
      <w:r w:rsidR="003713D0" w:rsidRPr="00CB1143">
        <w:t>« </w:t>
      </w:r>
      <w:r w:rsidRPr="00CB1143">
        <w:t>Ako</w:t>
      </w:r>
      <w:r w:rsidR="003713D0" w:rsidRPr="00CB1143">
        <w:t> »</w:t>
      </w:r>
      <w:r w:rsidRPr="00CB1143">
        <w:t xml:space="preserve"> SIAMPANI</w:t>
      </w:r>
      <w:r w:rsidR="00CB1143" w:rsidRPr="00CB1143">
        <w:t>, née le 23 janvier 1997</w:t>
      </w:r>
    </w:p>
    <w:p w:rsidR="009849E9" w:rsidRPr="00CB1143" w:rsidRDefault="009849E9" w:rsidP="009849E9">
      <w:pPr>
        <w:pStyle w:val="JuPara"/>
      </w:pPr>
      <w:r w:rsidRPr="00CB1143">
        <w:t>60) Eleftheria KAMPERI</w:t>
      </w:r>
      <w:r w:rsidR="00CB1143" w:rsidRPr="00CB1143">
        <w:t>, née le 1er mai 1976</w:t>
      </w:r>
    </w:p>
    <w:p w:rsidR="009849E9" w:rsidRPr="00CD3AE7" w:rsidRDefault="009849E9" w:rsidP="009849E9">
      <w:pPr>
        <w:pStyle w:val="JuPara"/>
        <w:rPr>
          <w:b/>
          <w:u w:val="single"/>
        </w:rPr>
      </w:pPr>
      <w:r w:rsidRPr="00CD3AE7">
        <w:rPr>
          <w:b/>
          <w:u w:val="single"/>
        </w:rPr>
        <w:t>Quatorzième famille</w:t>
      </w:r>
      <w:r w:rsidR="00CB1143">
        <w:rPr>
          <w:b/>
          <w:u w:val="single"/>
        </w:rPr>
        <w:t xml:space="preserve"> (4 enfants et 1 parent)</w:t>
      </w:r>
    </w:p>
    <w:p w:rsidR="009849E9" w:rsidRPr="00BC3A4B" w:rsidRDefault="009849E9" w:rsidP="009849E9">
      <w:pPr>
        <w:pStyle w:val="JuPara"/>
      </w:pPr>
      <w:r w:rsidRPr="00BC3A4B">
        <w:t xml:space="preserve">61) </w:t>
      </w:r>
      <w:r w:rsidR="003713D0" w:rsidRPr="00BC3A4B">
        <w:t>« </w:t>
      </w:r>
      <w:r w:rsidRPr="00BC3A4B">
        <w:t>Ako</w:t>
      </w:r>
      <w:r w:rsidR="003713D0" w:rsidRPr="00BC3A4B">
        <w:t> »</w:t>
      </w:r>
      <w:r w:rsidRPr="00BC3A4B">
        <w:t xml:space="preserve"> DALIPIS</w:t>
      </w:r>
      <w:r w:rsidR="00CB1143">
        <w:t>, né le 18 août 1998</w:t>
      </w:r>
    </w:p>
    <w:p w:rsidR="009849E9" w:rsidRPr="00BC3A4B" w:rsidRDefault="009849E9" w:rsidP="009849E9">
      <w:pPr>
        <w:pStyle w:val="JuPara"/>
      </w:pPr>
      <w:r w:rsidRPr="00BC3A4B">
        <w:t xml:space="preserve">62) </w:t>
      </w:r>
      <w:r w:rsidR="003713D0" w:rsidRPr="00BC3A4B">
        <w:t>« </w:t>
      </w:r>
      <w:r w:rsidRPr="00BC3A4B">
        <w:t>Ako</w:t>
      </w:r>
      <w:r w:rsidR="003713D0" w:rsidRPr="00BC3A4B">
        <w:t> »</w:t>
      </w:r>
      <w:r w:rsidRPr="00BC3A4B">
        <w:t xml:space="preserve"> DALIPI</w:t>
      </w:r>
      <w:r w:rsidR="00CB1143">
        <w:t>, née le 23 janvier 2000</w:t>
      </w:r>
    </w:p>
    <w:p w:rsidR="009849E9" w:rsidRDefault="009849E9" w:rsidP="009849E9">
      <w:pPr>
        <w:pStyle w:val="JuPara"/>
      </w:pPr>
      <w:r w:rsidRPr="00BC3A4B">
        <w:t xml:space="preserve">63) </w:t>
      </w:r>
      <w:r w:rsidR="003713D0" w:rsidRPr="00BC3A4B">
        <w:t>« </w:t>
      </w:r>
      <w:r w:rsidRPr="00BC3A4B">
        <w:t>Ako</w:t>
      </w:r>
      <w:r w:rsidR="003713D0" w:rsidRPr="00BC3A4B">
        <w:t> »</w:t>
      </w:r>
      <w:r w:rsidRPr="00BC3A4B">
        <w:t xml:space="preserve"> DALIPI</w:t>
      </w:r>
      <w:r w:rsidR="00CB1143">
        <w:t>S, né le 20 avril 2002</w:t>
      </w:r>
    </w:p>
    <w:p w:rsidR="0092771C" w:rsidRPr="00BC3A4B" w:rsidRDefault="0092771C" w:rsidP="009849E9">
      <w:pPr>
        <w:pStyle w:val="JuPara"/>
      </w:pPr>
      <w:r>
        <w:t>64) « Ako » DALIPI, née le 14 octobre 2003</w:t>
      </w:r>
    </w:p>
    <w:p w:rsidR="009849E9" w:rsidRPr="00CD3AE7" w:rsidRDefault="009849E9" w:rsidP="009849E9">
      <w:pPr>
        <w:pStyle w:val="JuPara"/>
      </w:pPr>
      <w:r w:rsidRPr="00CD3AE7">
        <w:t>6</w:t>
      </w:r>
      <w:r w:rsidR="0092771C">
        <w:t>5</w:t>
      </w:r>
      <w:r w:rsidRPr="00CD3AE7">
        <w:t>) Polyxeni DALIPI</w:t>
      </w:r>
      <w:r w:rsidR="00CB1143">
        <w:t>, née le 29 avril 1985</w:t>
      </w:r>
    </w:p>
    <w:p w:rsidR="009849E9" w:rsidRPr="00CD3AE7" w:rsidRDefault="009849E9" w:rsidP="003C7197">
      <w:pPr>
        <w:pStyle w:val="JuPara"/>
        <w:keepNext/>
        <w:keepLines/>
        <w:rPr>
          <w:b/>
          <w:u w:val="single"/>
        </w:rPr>
      </w:pPr>
      <w:r w:rsidRPr="00CD3AE7">
        <w:rPr>
          <w:b/>
          <w:u w:val="single"/>
        </w:rPr>
        <w:t>Quinzième famille</w:t>
      </w:r>
      <w:r w:rsidR="00CB1143">
        <w:rPr>
          <w:b/>
          <w:u w:val="single"/>
        </w:rPr>
        <w:t xml:space="preserve"> (3 enfants et 1 parent)</w:t>
      </w:r>
    </w:p>
    <w:p w:rsidR="009849E9" w:rsidRPr="00CD3AE7" w:rsidRDefault="009849E9" w:rsidP="003C7197">
      <w:pPr>
        <w:pStyle w:val="JuPara"/>
        <w:keepNext/>
        <w:keepLines/>
      </w:pPr>
      <w:r w:rsidRPr="00CD3AE7">
        <w:t>6</w:t>
      </w:r>
      <w:r w:rsidR="0092771C">
        <w:t>6</w:t>
      </w:r>
      <w:r w:rsidRPr="00CD3AE7">
        <w:t>) Anastasios TRIANTAFILIDIS</w:t>
      </w:r>
      <w:r w:rsidR="00CB1143">
        <w:t>, né le 6 juin 1997</w:t>
      </w:r>
    </w:p>
    <w:p w:rsidR="009849E9" w:rsidRPr="00CD3AE7" w:rsidRDefault="009849E9" w:rsidP="003C7197">
      <w:pPr>
        <w:pStyle w:val="JuPara"/>
        <w:keepNext/>
        <w:keepLines/>
      </w:pPr>
      <w:r w:rsidRPr="00CD3AE7">
        <w:t>6</w:t>
      </w:r>
      <w:r w:rsidR="0092771C">
        <w:t>7</w:t>
      </w:r>
      <w:r w:rsidRPr="00CD3AE7">
        <w:t>) Maria TRIANTAFILIDI</w:t>
      </w:r>
      <w:r w:rsidR="00CB1143">
        <w:t>, née le 12 juillet 2000</w:t>
      </w:r>
    </w:p>
    <w:p w:rsidR="009849E9" w:rsidRPr="00CD3AE7" w:rsidRDefault="009849E9" w:rsidP="003C7197">
      <w:pPr>
        <w:pStyle w:val="JuPara"/>
        <w:keepNext/>
        <w:keepLines/>
      </w:pPr>
      <w:r w:rsidRPr="00CD3AE7">
        <w:t>6</w:t>
      </w:r>
      <w:r w:rsidR="0092771C">
        <w:t>8</w:t>
      </w:r>
      <w:r w:rsidRPr="00CD3AE7">
        <w:t>) Ioanna TRIANTAFILIDOU</w:t>
      </w:r>
      <w:r w:rsidR="00CB1143">
        <w:t>, née le 27 août 2002</w:t>
      </w:r>
    </w:p>
    <w:p w:rsidR="009849E9" w:rsidRDefault="009849E9" w:rsidP="003C7197">
      <w:pPr>
        <w:pStyle w:val="JuPara"/>
        <w:keepNext/>
        <w:keepLines/>
      </w:pPr>
      <w:r w:rsidRPr="00CD3AE7">
        <w:t>6</w:t>
      </w:r>
      <w:r w:rsidR="0092771C">
        <w:t>9</w:t>
      </w:r>
      <w:r w:rsidRPr="00CD3AE7">
        <w:t>) Davidoula TRIANTAFILIDOU</w:t>
      </w:r>
      <w:r w:rsidR="00CB1143">
        <w:t>, née le 28 juin 1979</w:t>
      </w:r>
    </w:p>
    <w:p w:rsidR="009849E9" w:rsidRPr="00CD3AE7" w:rsidRDefault="009849E9" w:rsidP="009849E9">
      <w:pPr>
        <w:pStyle w:val="JuPara"/>
        <w:rPr>
          <w:b/>
          <w:u w:val="single"/>
        </w:rPr>
      </w:pPr>
      <w:r w:rsidRPr="00CD3AE7">
        <w:rPr>
          <w:b/>
          <w:u w:val="single"/>
        </w:rPr>
        <w:t>Seizième famille</w:t>
      </w:r>
      <w:r w:rsidR="00CB1143">
        <w:rPr>
          <w:b/>
          <w:u w:val="single"/>
        </w:rPr>
        <w:t xml:space="preserve"> (6 enfants et 1 parent)</w:t>
      </w:r>
    </w:p>
    <w:p w:rsidR="009849E9" w:rsidRPr="00CD3AE7" w:rsidRDefault="0092771C" w:rsidP="009849E9">
      <w:pPr>
        <w:pStyle w:val="JuPara"/>
      </w:pPr>
      <w:r>
        <w:t>70</w:t>
      </w:r>
      <w:r w:rsidR="009849E9" w:rsidRPr="00CD3AE7">
        <w:t xml:space="preserve">) </w:t>
      </w:r>
      <w:r w:rsidR="003713D0">
        <w:t>« </w:t>
      </w:r>
      <w:r w:rsidR="009849E9" w:rsidRPr="00CD3AE7">
        <w:t>Ako</w:t>
      </w:r>
      <w:r w:rsidR="003713D0" w:rsidRPr="003713D0">
        <w:t> »</w:t>
      </w:r>
      <w:r w:rsidR="009849E9" w:rsidRPr="00CD3AE7">
        <w:t xml:space="preserve"> TSAKIRI</w:t>
      </w:r>
      <w:r w:rsidR="00CB1143">
        <w:t>, née le 1</w:t>
      </w:r>
      <w:r w:rsidR="00CB1143" w:rsidRPr="00CB1143">
        <w:rPr>
          <w:vertAlign w:val="superscript"/>
        </w:rPr>
        <w:t>er</w:t>
      </w:r>
      <w:r w:rsidR="00CB1143">
        <w:t xml:space="preserve"> avril 1995</w:t>
      </w:r>
    </w:p>
    <w:p w:rsidR="009849E9" w:rsidRPr="00CD3AE7" w:rsidRDefault="009849E9" w:rsidP="009849E9">
      <w:pPr>
        <w:pStyle w:val="JuPara"/>
      </w:pPr>
      <w:r w:rsidRPr="00CD3AE7">
        <w:t>7</w:t>
      </w:r>
      <w:r w:rsidR="0092771C">
        <w:t>1</w:t>
      </w:r>
      <w:r w:rsidRPr="00CD3AE7">
        <w:t xml:space="preserve">) </w:t>
      </w:r>
      <w:r w:rsidR="003713D0">
        <w:t>« </w:t>
      </w:r>
      <w:r w:rsidRPr="00CD3AE7">
        <w:t>Ako</w:t>
      </w:r>
      <w:r w:rsidR="003713D0" w:rsidRPr="003713D0">
        <w:t xml:space="preserve"> » </w:t>
      </w:r>
      <w:r w:rsidRPr="00CD3AE7">
        <w:t>TSAKIRI</w:t>
      </w:r>
      <w:r w:rsidR="00CB1143">
        <w:t>, née le 1</w:t>
      </w:r>
      <w:r w:rsidR="00CB1143" w:rsidRPr="00CB1143">
        <w:rPr>
          <w:vertAlign w:val="superscript"/>
        </w:rPr>
        <w:t>er</w:t>
      </w:r>
      <w:r w:rsidR="00CB1143">
        <w:t xml:space="preserve"> avril 1995</w:t>
      </w:r>
    </w:p>
    <w:p w:rsidR="009849E9" w:rsidRPr="00CD3AE7" w:rsidRDefault="009849E9" w:rsidP="009849E9">
      <w:pPr>
        <w:pStyle w:val="JuPara"/>
      </w:pPr>
      <w:r w:rsidRPr="00CD3AE7">
        <w:t>7</w:t>
      </w:r>
      <w:r w:rsidR="0092771C">
        <w:t>2</w:t>
      </w:r>
      <w:r w:rsidRPr="00CD3AE7">
        <w:t>)</w:t>
      </w:r>
      <w:r w:rsidR="003713D0" w:rsidRPr="003713D0">
        <w:t xml:space="preserve"> </w:t>
      </w:r>
      <w:r w:rsidR="003713D0">
        <w:t>« </w:t>
      </w:r>
      <w:r w:rsidRPr="00CD3AE7">
        <w:t>Ako</w:t>
      </w:r>
      <w:r w:rsidR="003713D0" w:rsidRPr="003713D0">
        <w:t> »</w:t>
      </w:r>
      <w:r w:rsidRPr="00CD3AE7">
        <w:t xml:space="preserve"> TSAKIRIS</w:t>
      </w:r>
      <w:r w:rsidR="00CB1143">
        <w:t>, né le 12 août 1996</w:t>
      </w:r>
    </w:p>
    <w:p w:rsidR="009849E9" w:rsidRPr="00CD3AE7" w:rsidRDefault="009849E9" w:rsidP="009849E9">
      <w:pPr>
        <w:pStyle w:val="JuPara"/>
      </w:pPr>
      <w:r w:rsidRPr="00CD3AE7">
        <w:t>7</w:t>
      </w:r>
      <w:r w:rsidR="0092771C">
        <w:t>3</w:t>
      </w:r>
      <w:r w:rsidRPr="00CD3AE7">
        <w:t xml:space="preserve">) </w:t>
      </w:r>
      <w:r w:rsidR="003713D0">
        <w:t>« </w:t>
      </w:r>
      <w:r w:rsidRPr="00CD3AE7">
        <w:t>Ako</w:t>
      </w:r>
      <w:r w:rsidR="003713D0" w:rsidRPr="003713D0">
        <w:t> »</w:t>
      </w:r>
      <w:r w:rsidRPr="00CD3AE7">
        <w:t xml:space="preserve"> TSAKIRI</w:t>
      </w:r>
      <w:r w:rsidR="00CB1143">
        <w:t>, née le 7 juillet 1997</w:t>
      </w:r>
    </w:p>
    <w:p w:rsidR="009849E9" w:rsidRPr="00CD3AE7" w:rsidRDefault="009849E9" w:rsidP="009849E9">
      <w:pPr>
        <w:pStyle w:val="JuPara"/>
      </w:pPr>
      <w:r w:rsidRPr="00CD3AE7">
        <w:t>7</w:t>
      </w:r>
      <w:r w:rsidR="0092771C">
        <w:t>4</w:t>
      </w:r>
      <w:r w:rsidRPr="00CD3AE7">
        <w:t xml:space="preserve">) </w:t>
      </w:r>
      <w:r w:rsidR="00E25040">
        <w:t>« </w:t>
      </w:r>
      <w:r w:rsidRPr="00CD3AE7">
        <w:t>Ako</w:t>
      </w:r>
      <w:r w:rsidR="003713D0" w:rsidRPr="003713D0">
        <w:t> »</w:t>
      </w:r>
      <w:r w:rsidRPr="00CD3AE7">
        <w:t xml:space="preserve"> TSAKIRI</w:t>
      </w:r>
      <w:r w:rsidR="00CB1143">
        <w:t>, née le 15 octobre 1998</w:t>
      </w:r>
    </w:p>
    <w:p w:rsidR="009849E9" w:rsidRPr="00CD3AE7" w:rsidRDefault="009849E9" w:rsidP="009849E9">
      <w:pPr>
        <w:pStyle w:val="JuPara"/>
      </w:pPr>
      <w:r w:rsidRPr="00CD3AE7">
        <w:t>7</w:t>
      </w:r>
      <w:r w:rsidR="0092771C">
        <w:t>5</w:t>
      </w:r>
      <w:r w:rsidRPr="00CD3AE7">
        <w:t xml:space="preserve">) </w:t>
      </w:r>
      <w:r w:rsidR="00E25040">
        <w:t>« </w:t>
      </w:r>
      <w:r w:rsidRPr="00CD3AE7">
        <w:t>Ako</w:t>
      </w:r>
      <w:r w:rsidR="003713D0" w:rsidRPr="003713D0">
        <w:t> »</w:t>
      </w:r>
      <w:r w:rsidRPr="00CD3AE7">
        <w:t xml:space="preserve"> TSAKIRI</w:t>
      </w:r>
      <w:r w:rsidR="00CB1143">
        <w:t>, née le 11 février 2003</w:t>
      </w:r>
    </w:p>
    <w:p w:rsidR="009849E9" w:rsidRPr="00CD3AE7" w:rsidRDefault="009849E9" w:rsidP="009849E9">
      <w:pPr>
        <w:pStyle w:val="JuPara"/>
      </w:pPr>
      <w:r w:rsidRPr="00CD3AE7">
        <w:t>7</w:t>
      </w:r>
      <w:r w:rsidR="0092771C">
        <w:t>6</w:t>
      </w:r>
      <w:r w:rsidRPr="00CD3AE7">
        <w:t>) Panayotis TSAKIRIS</w:t>
      </w:r>
      <w:r w:rsidR="00FF096D">
        <w:t>, né le 15 mars 1976</w:t>
      </w:r>
    </w:p>
    <w:p w:rsidR="009849E9" w:rsidRPr="00CD3AE7" w:rsidRDefault="009849E9" w:rsidP="009849E9">
      <w:pPr>
        <w:pStyle w:val="JuPara"/>
        <w:rPr>
          <w:b/>
          <w:u w:val="single"/>
        </w:rPr>
      </w:pPr>
      <w:r w:rsidRPr="00CD3AE7">
        <w:rPr>
          <w:b/>
          <w:u w:val="single"/>
        </w:rPr>
        <w:t>Dix-septième famille</w:t>
      </w:r>
      <w:r w:rsidR="00FF096D">
        <w:rPr>
          <w:b/>
          <w:u w:val="single"/>
        </w:rPr>
        <w:t xml:space="preserve"> ( 1 enfant et 1 parent)</w:t>
      </w:r>
    </w:p>
    <w:p w:rsidR="009849E9" w:rsidRPr="00CD3AE7" w:rsidRDefault="009849E9" w:rsidP="009849E9">
      <w:pPr>
        <w:pStyle w:val="JuPara"/>
      </w:pPr>
      <w:r w:rsidRPr="00CD3AE7">
        <w:t>7</w:t>
      </w:r>
      <w:r w:rsidR="0092771C">
        <w:t>7</w:t>
      </w:r>
      <w:r w:rsidRPr="00CD3AE7">
        <w:t xml:space="preserve">) </w:t>
      </w:r>
      <w:r w:rsidR="00E25040">
        <w:t>« </w:t>
      </w:r>
      <w:r w:rsidRPr="00CD3AE7">
        <w:t>Ako</w:t>
      </w:r>
      <w:r w:rsidR="003713D0" w:rsidRPr="00BC3A4B">
        <w:t> »</w:t>
      </w:r>
      <w:r w:rsidRPr="00CD3AE7">
        <w:t xml:space="preserve"> RAMOS</w:t>
      </w:r>
      <w:r w:rsidR="00FF096D">
        <w:t>, né le 26 septembre 1998</w:t>
      </w:r>
    </w:p>
    <w:p w:rsidR="009849E9" w:rsidRPr="00CD3AE7" w:rsidRDefault="009849E9" w:rsidP="009849E9">
      <w:pPr>
        <w:pStyle w:val="JuPara"/>
      </w:pPr>
      <w:r w:rsidRPr="00CD3AE7">
        <w:t>7</w:t>
      </w:r>
      <w:r w:rsidR="0092771C">
        <w:t>8</w:t>
      </w:r>
      <w:r w:rsidRPr="00CD3AE7">
        <w:t>) Margarita PASIOU</w:t>
      </w:r>
      <w:r w:rsidR="00FF096D">
        <w:t>, née le 22 juillet 1973</w:t>
      </w:r>
    </w:p>
    <w:p w:rsidR="009849E9" w:rsidRPr="00CD3AE7" w:rsidRDefault="009849E9" w:rsidP="009849E9">
      <w:pPr>
        <w:pStyle w:val="JuPara"/>
        <w:rPr>
          <w:b/>
          <w:u w:val="single"/>
        </w:rPr>
      </w:pPr>
      <w:r w:rsidRPr="00CD3AE7">
        <w:rPr>
          <w:b/>
          <w:u w:val="single"/>
        </w:rPr>
        <w:t>Dix-huitième famille</w:t>
      </w:r>
      <w:r w:rsidR="00FF096D">
        <w:rPr>
          <w:b/>
          <w:u w:val="single"/>
        </w:rPr>
        <w:t xml:space="preserve"> (1 enfant et 1 parent)</w:t>
      </w:r>
    </w:p>
    <w:p w:rsidR="009849E9" w:rsidRPr="00CD3AE7" w:rsidRDefault="009849E9" w:rsidP="009849E9">
      <w:pPr>
        <w:pStyle w:val="JuPara"/>
      </w:pPr>
      <w:r w:rsidRPr="00CD3AE7">
        <w:t>7</w:t>
      </w:r>
      <w:r w:rsidR="0092771C">
        <w:t>9</w:t>
      </w:r>
      <w:r w:rsidRPr="00CD3AE7">
        <w:t>) Eleni SIAMPANI</w:t>
      </w:r>
      <w:r w:rsidR="00FF096D">
        <w:t>, née 1</w:t>
      </w:r>
      <w:r w:rsidR="00FF096D" w:rsidRPr="00FF096D">
        <w:rPr>
          <w:vertAlign w:val="superscript"/>
        </w:rPr>
        <w:t>er</w:t>
      </w:r>
      <w:r w:rsidR="00FF096D">
        <w:t xml:space="preserve"> août 2003</w:t>
      </w:r>
    </w:p>
    <w:p w:rsidR="009849E9" w:rsidRPr="00CD3AE7" w:rsidRDefault="0092771C" w:rsidP="009849E9">
      <w:pPr>
        <w:pStyle w:val="JuPara"/>
      </w:pPr>
      <w:r>
        <w:t>80</w:t>
      </w:r>
      <w:r w:rsidR="009849E9" w:rsidRPr="00CD3AE7">
        <w:t>) Aikaterini SIAMPANI</w:t>
      </w:r>
      <w:r w:rsidR="00FF096D">
        <w:t>, née le 21 décembre 1984</w:t>
      </w:r>
    </w:p>
    <w:p w:rsidR="009849E9" w:rsidRPr="00CD3AE7" w:rsidRDefault="009849E9" w:rsidP="009849E9">
      <w:pPr>
        <w:pStyle w:val="JuPara"/>
        <w:rPr>
          <w:b/>
          <w:u w:val="single"/>
        </w:rPr>
      </w:pPr>
      <w:r w:rsidRPr="00CD3AE7">
        <w:rPr>
          <w:b/>
          <w:u w:val="single"/>
        </w:rPr>
        <w:t>Dix-neuvième famille</w:t>
      </w:r>
      <w:r w:rsidR="00FF096D">
        <w:rPr>
          <w:b/>
          <w:u w:val="single"/>
        </w:rPr>
        <w:t xml:space="preserve"> (2 enfants et 1 parent)</w:t>
      </w:r>
    </w:p>
    <w:p w:rsidR="009849E9" w:rsidRPr="00E43B29" w:rsidRDefault="009849E9" w:rsidP="009849E9">
      <w:pPr>
        <w:pStyle w:val="JuPara"/>
      </w:pPr>
      <w:r w:rsidRPr="00E43B29">
        <w:t>8</w:t>
      </w:r>
      <w:r w:rsidR="0092771C">
        <w:t>1</w:t>
      </w:r>
      <w:r w:rsidRPr="00E43B29">
        <w:t xml:space="preserve">) </w:t>
      </w:r>
      <w:r w:rsidR="00E25040">
        <w:t>« </w:t>
      </w:r>
      <w:r w:rsidRPr="00E43B29">
        <w:t>Ako</w:t>
      </w:r>
      <w:r w:rsidR="003713D0" w:rsidRPr="00BC3A4B">
        <w:t> »</w:t>
      </w:r>
      <w:r w:rsidRPr="00E43B29">
        <w:t xml:space="preserve"> LAZOU</w:t>
      </w:r>
      <w:r w:rsidR="00FF096D">
        <w:t>, née le 7 juillet 2000</w:t>
      </w:r>
    </w:p>
    <w:p w:rsidR="009849E9" w:rsidRPr="00E43B29" w:rsidRDefault="009849E9" w:rsidP="009849E9">
      <w:pPr>
        <w:pStyle w:val="JuPara"/>
      </w:pPr>
      <w:r w:rsidRPr="00E43B29">
        <w:t>8</w:t>
      </w:r>
      <w:r w:rsidR="0092771C">
        <w:t>2</w:t>
      </w:r>
      <w:r w:rsidRPr="00E43B29">
        <w:t xml:space="preserve">) </w:t>
      </w:r>
      <w:r w:rsidR="00E25040">
        <w:t>« </w:t>
      </w:r>
      <w:r w:rsidRPr="00E43B29">
        <w:t>Ako</w:t>
      </w:r>
      <w:r w:rsidR="003713D0" w:rsidRPr="00BC3A4B">
        <w:t> »</w:t>
      </w:r>
      <w:r w:rsidRPr="00E43B29">
        <w:t xml:space="preserve"> LAZOS</w:t>
      </w:r>
      <w:r w:rsidR="00FF096D">
        <w:t>, né le 21 août 2003</w:t>
      </w:r>
    </w:p>
    <w:p w:rsidR="009849E9" w:rsidRDefault="009849E9" w:rsidP="009849E9">
      <w:pPr>
        <w:pStyle w:val="JuPara"/>
      </w:pPr>
      <w:r w:rsidRPr="00E43B29">
        <w:t>8</w:t>
      </w:r>
      <w:r w:rsidR="0092771C">
        <w:t>3</w:t>
      </w:r>
      <w:r w:rsidRPr="00E43B29">
        <w:t>) Paraskevi BANDI</w:t>
      </w:r>
      <w:r w:rsidR="00FF096D">
        <w:t>, née le 9 février 1983</w:t>
      </w:r>
    </w:p>
    <w:p w:rsidR="009849E9" w:rsidRPr="00B46187" w:rsidRDefault="009849E9" w:rsidP="009849E9">
      <w:pPr>
        <w:pStyle w:val="JuPara"/>
        <w:rPr>
          <w:b/>
          <w:u w:val="single"/>
        </w:rPr>
      </w:pPr>
      <w:r w:rsidRPr="00B46187">
        <w:rPr>
          <w:b/>
          <w:u w:val="single"/>
        </w:rPr>
        <w:t>Vingtième famille</w:t>
      </w:r>
      <w:r w:rsidR="00FF096D">
        <w:rPr>
          <w:b/>
          <w:u w:val="single"/>
        </w:rPr>
        <w:t xml:space="preserve"> (2 enfants et 1 parent)</w:t>
      </w:r>
    </w:p>
    <w:p w:rsidR="009849E9" w:rsidRDefault="009849E9" w:rsidP="009849E9">
      <w:pPr>
        <w:pStyle w:val="JuPara"/>
      </w:pPr>
      <w:r>
        <w:t>8</w:t>
      </w:r>
      <w:r w:rsidR="0092771C">
        <w:t>4</w:t>
      </w:r>
      <w:r>
        <w:t>) « Ako » PASIOU</w:t>
      </w:r>
      <w:r w:rsidR="00FF096D">
        <w:t>, née le 25 avril 1995</w:t>
      </w:r>
    </w:p>
    <w:p w:rsidR="009849E9" w:rsidRDefault="009849E9" w:rsidP="009849E9">
      <w:pPr>
        <w:pStyle w:val="JuPara"/>
      </w:pPr>
      <w:r>
        <w:t>8</w:t>
      </w:r>
      <w:r w:rsidR="0092771C">
        <w:t>5</w:t>
      </w:r>
      <w:r>
        <w:t>) Irini Chrysovalandi PASIOU</w:t>
      </w:r>
      <w:r w:rsidR="00973DD0">
        <w:t>, née le 3 mars 2004</w:t>
      </w:r>
    </w:p>
    <w:p w:rsidR="009849E9" w:rsidRDefault="009849E9" w:rsidP="009849E9">
      <w:pPr>
        <w:pStyle w:val="JuPara"/>
      </w:pPr>
      <w:r>
        <w:t>8</w:t>
      </w:r>
      <w:r w:rsidR="0092771C">
        <w:t>6</w:t>
      </w:r>
      <w:r>
        <w:t>) Antonia BANDI</w:t>
      </w:r>
      <w:r w:rsidR="00973DD0">
        <w:t>, née le 10 mars 1978</w:t>
      </w:r>
    </w:p>
    <w:p w:rsidR="009849E9" w:rsidRPr="00B46187" w:rsidRDefault="009849E9" w:rsidP="009849E9">
      <w:pPr>
        <w:pStyle w:val="JuPara"/>
        <w:rPr>
          <w:b/>
          <w:u w:val="single"/>
        </w:rPr>
      </w:pPr>
      <w:r w:rsidRPr="00B46187">
        <w:rPr>
          <w:b/>
          <w:u w:val="single"/>
        </w:rPr>
        <w:t>Vingt</w:t>
      </w:r>
      <w:r w:rsidR="00386AA9">
        <w:rPr>
          <w:b/>
          <w:u w:val="single"/>
        </w:rPr>
        <w:t xml:space="preserve"> </w:t>
      </w:r>
      <w:r w:rsidRPr="00B46187">
        <w:rPr>
          <w:b/>
          <w:u w:val="single"/>
        </w:rPr>
        <w:t>et</w:t>
      </w:r>
      <w:r w:rsidR="00386AA9">
        <w:rPr>
          <w:b/>
          <w:u w:val="single"/>
        </w:rPr>
        <w:t xml:space="preserve"> </w:t>
      </w:r>
      <w:r w:rsidRPr="00B46187">
        <w:rPr>
          <w:b/>
          <w:u w:val="single"/>
        </w:rPr>
        <w:t>unième famille</w:t>
      </w:r>
      <w:r w:rsidR="00973DD0">
        <w:rPr>
          <w:b/>
          <w:u w:val="single"/>
        </w:rPr>
        <w:t xml:space="preserve"> ( 3 enfants et 1 parent)</w:t>
      </w:r>
    </w:p>
    <w:p w:rsidR="009849E9" w:rsidRDefault="009849E9" w:rsidP="009849E9">
      <w:pPr>
        <w:pStyle w:val="JuPara"/>
      </w:pPr>
      <w:r>
        <w:t>8</w:t>
      </w:r>
      <w:r w:rsidR="0092771C">
        <w:t>7</w:t>
      </w:r>
      <w:r>
        <w:t>) « Ako » KARAHALIOS</w:t>
      </w:r>
      <w:r w:rsidR="00973DD0">
        <w:t>, né le 17 août 1995</w:t>
      </w:r>
    </w:p>
    <w:p w:rsidR="009849E9" w:rsidRDefault="009849E9" w:rsidP="009849E9">
      <w:pPr>
        <w:pStyle w:val="JuPara"/>
      </w:pPr>
      <w:r>
        <w:t>8</w:t>
      </w:r>
      <w:r w:rsidR="0092771C">
        <w:t>8</w:t>
      </w:r>
      <w:r>
        <w:t>) « Ako » KARAHALIOU</w:t>
      </w:r>
      <w:r w:rsidR="00973DD0">
        <w:t>, née le 9 novembre 1998</w:t>
      </w:r>
    </w:p>
    <w:p w:rsidR="009849E9" w:rsidRDefault="009849E9" w:rsidP="009849E9">
      <w:pPr>
        <w:pStyle w:val="JuPara"/>
      </w:pPr>
      <w:r>
        <w:t>8</w:t>
      </w:r>
      <w:r w:rsidR="0092771C">
        <w:t>9</w:t>
      </w:r>
      <w:r>
        <w:t>) « Ako » KARAHALIOU</w:t>
      </w:r>
      <w:r w:rsidR="00973DD0">
        <w:t>, née le 28 septembre 2003</w:t>
      </w:r>
    </w:p>
    <w:p w:rsidR="009849E9" w:rsidRDefault="0092771C" w:rsidP="009849E9">
      <w:pPr>
        <w:pStyle w:val="JuPara"/>
      </w:pPr>
      <w:r>
        <w:t>90</w:t>
      </w:r>
      <w:r w:rsidR="009849E9">
        <w:t>) Irini KARAHALIOU</w:t>
      </w:r>
      <w:r w:rsidR="00973DD0">
        <w:t>, née le 24 novembre 1979</w:t>
      </w:r>
    </w:p>
    <w:p w:rsidR="009849E9" w:rsidRPr="00B46187" w:rsidRDefault="009849E9" w:rsidP="009849E9">
      <w:pPr>
        <w:pStyle w:val="JuPara"/>
        <w:rPr>
          <w:b/>
          <w:u w:val="single"/>
        </w:rPr>
      </w:pPr>
      <w:r w:rsidRPr="00B46187">
        <w:rPr>
          <w:b/>
          <w:u w:val="single"/>
        </w:rPr>
        <w:t>Vingt-deuxième famille</w:t>
      </w:r>
      <w:r w:rsidR="00973DD0">
        <w:rPr>
          <w:b/>
          <w:u w:val="single"/>
        </w:rPr>
        <w:t xml:space="preserve"> (3 enfants et 1 parent)</w:t>
      </w:r>
    </w:p>
    <w:p w:rsidR="009849E9" w:rsidRDefault="009849E9" w:rsidP="009849E9">
      <w:pPr>
        <w:pStyle w:val="JuPara"/>
      </w:pPr>
      <w:r>
        <w:t>9</w:t>
      </w:r>
      <w:r w:rsidR="0092771C">
        <w:t>1</w:t>
      </w:r>
      <w:r>
        <w:t>) Kyriaki KARAHALIOU</w:t>
      </w:r>
      <w:r w:rsidR="00973DD0">
        <w:t>, née le 16 avril 1998</w:t>
      </w:r>
    </w:p>
    <w:p w:rsidR="009849E9" w:rsidRDefault="009849E9" w:rsidP="009849E9">
      <w:pPr>
        <w:pStyle w:val="JuPara"/>
      </w:pPr>
      <w:r>
        <w:t>9</w:t>
      </w:r>
      <w:r w:rsidR="0092771C">
        <w:t>2</w:t>
      </w:r>
      <w:r>
        <w:t>) Aikaterini KARAHALIOU</w:t>
      </w:r>
      <w:r w:rsidR="00973DD0">
        <w:t>, née le 7 mars 2000</w:t>
      </w:r>
    </w:p>
    <w:p w:rsidR="009849E9" w:rsidRPr="00CD3AE7" w:rsidRDefault="009849E9" w:rsidP="009849E9">
      <w:pPr>
        <w:pStyle w:val="JuPara"/>
      </w:pPr>
      <w:r w:rsidRPr="00CD3AE7">
        <w:t>9</w:t>
      </w:r>
      <w:r w:rsidR="0092771C">
        <w:t>3</w:t>
      </w:r>
      <w:r w:rsidRPr="00CD3AE7">
        <w:t>) Vaïa KARAHALIOU</w:t>
      </w:r>
      <w:r w:rsidR="00973DD0">
        <w:t>, née le 10 avril 2002</w:t>
      </w:r>
    </w:p>
    <w:p w:rsidR="009849E9" w:rsidRPr="00CD3AE7" w:rsidRDefault="009849E9" w:rsidP="009849E9">
      <w:pPr>
        <w:pStyle w:val="JuPara"/>
      </w:pPr>
      <w:r w:rsidRPr="00CD3AE7">
        <w:t>9</w:t>
      </w:r>
      <w:r w:rsidR="0092771C">
        <w:t>4</w:t>
      </w:r>
      <w:r w:rsidRPr="00CD3AE7">
        <w:t>) Georgios KARAHALIOS</w:t>
      </w:r>
      <w:r w:rsidR="00973DD0">
        <w:t>, né le 10 octobre 1978</w:t>
      </w:r>
    </w:p>
    <w:p w:rsidR="009849E9" w:rsidRPr="00CD3AE7" w:rsidRDefault="009849E9" w:rsidP="009849E9">
      <w:pPr>
        <w:pStyle w:val="JuPara"/>
        <w:rPr>
          <w:b/>
          <w:u w:val="single"/>
        </w:rPr>
      </w:pPr>
      <w:r w:rsidRPr="00CD3AE7">
        <w:rPr>
          <w:b/>
          <w:u w:val="single"/>
        </w:rPr>
        <w:t>Vingt-troisième famille</w:t>
      </w:r>
      <w:r w:rsidR="00973DD0">
        <w:rPr>
          <w:b/>
          <w:u w:val="single"/>
        </w:rPr>
        <w:t xml:space="preserve"> ( 2 enfants et 1 parent)</w:t>
      </w:r>
    </w:p>
    <w:p w:rsidR="009849E9" w:rsidRPr="00973DD0" w:rsidRDefault="009849E9" w:rsidP="009849E9">
      <w:pPr>
        <w:pStyle w:val="JuPara"/>
      </w:pPr>
      <w:r w:rsidRPr="00973DD0">
        <w:t>9</w:t>
      </w:r>
      <w:r w:rsidR="0092771C">
        <w:t>5</w:t>
      </w:r>
      <w:r w:rsidRPr="00973DD0">
        <w:t>) Vasilios SAMPANIS</w:t>
      </w:r>
      <w:r w:rsidR="00973DD0" w:rsidRPr="00973DD0">
        <w:t>, né le 16 juillet 2001</w:t>
      </w:r>
    </w:p>
    <w:p w:rsidR="009849E9" w:rsidRPr="00973DD0" w:rsidRDefault="009849E9" w:rsidP="009849E9">
      <w:pPr>
        <w:pStyle w:val="JuPara"/>
      </w:pPr>
      <w:r w:rsidRPr="00973DD0">
        <w:t>9</w:t>
      </w:r>
      <w:r w:rsidR="0092771C">
        <w:t>6</w:t>
      </w:r>
      <w:r w:rsidRPr="00973DD0">
        <w:t xml:space="preserve">) </w:t>
      </w:r>
      <w:r w:rsidR="00E25040" w:rsidRPr="00973DD0">
        <w:t>« </w:t>
      </w:r>
      <w:r w:rsidRPr="00973DD0">
        <w:t>Ak</w:t>
      </w:r>
      <w:r w:rsidR="00E25040" w:rsidRPr="00973DD0">
        <w:t>o »</w:t>
      </w:r>
      <w:r w:rsidRPr="00973DD0">
        <w:t xml:space="preserve"> SAMPANI</w:t>
      </w:r>
      <w:r w:rsidR="00973DD0" w:rsidRPr="00973DD0">
        <w:t>, née le 13 juin 2002</w:t>
      </w:r>
    </w:p>
    <w:p w:rsidR="009849E9" w:rsidRPr="00973DD0" w:rsidRDefault="009849E9" w:rsidP="009849E9">
      <w:pPr>
        <w:pStyle w:val="JuPara"/>
      </w:pPr>
      <w:r w:rsidRPr="00973DD0">
        <w:t>9</w:t>
      </w:r>
      <w:r w:rsidR="0092771C">
        <w:t>7</w:t>
      </w:r>
      <w:r w:rsidRPr="00973DD0">
        <w:t>) Kalliopi SAMPANI</w:t>
      </w:r>
      <w:r w:rsidR="00973DD0" w:rsidRPr="00973DD0">
        <w:t>, née le 6 juin 1984</w:t>
      </w:r>
    </w:p>
    <w:p w:rsidR="009849E9" w:rsidRPr="00CD3AE7" w:rsidRDefault="009849E9" w:rsidP="003C7197">
      <w:pPr>
        <w:pStyle w:val="JuPara"/>
        <w:keepNext/>
        <w:keepLines/>
        <w:rPr>
          <w:b/>
          <w:u w:val="single"/>
        </w:rPr>
      </w:pPr>
      <w:r w:rsidRPr="00CD3AE7">
        <w:rPr>
          <w:b/>
          <w:u w:val="single"/>
        </w:rPr>
        <w:t>Vingt-quatrième famille</w:t>
      </w:r>
      <w:r w:rsidR="00973DD0">
        <w:rPr>
          <w:b/>
          <w:u w:val="single"/>
        </w:rPr>
        <w:t xml:space="preserve"> (3 enfants et 1 parent)</w:t>
      </w:r>
    </w:p>
    <w:p w:rsidR="009849E9" w:rsidRPr="00973DD0" w:rsidRDefault="009849E9" w:rsidP="003C7197">
      <w:pPr>
        <w:pStyle w:val="JuPara"/>
        <w:keepNext/>
        <w:keepLines/>
      </w:pPr>
      <w:r w:rsidRPr="00973DD0">
        <w:t>9</w:t>
      </w:r>
      <w:r w:rsidR="0092771C">
        <w:t>8</w:t>
      </w:r>
      <w:r w:rsidRPr="00973DD0">
        <w:t>) Maria SIAMPANI</w:t>
      </w:r>
      <w:r w:rsidR="00973DD0" w:rsidRPr="00973DD0">
        <w:t>, née le 27 août 1995</w:t>
      </w:r>
    </w:p>
    <w:p w:rsidR="009849E9" w:rsidRPr="00973DD0" w:rsidRDefault="009849E9" w:rsidP="003C7197">
      <w:pPr>
        <w:pStyle w:val="JuPara"/>
        <w:keepNext/>
        <w:keepLines/>
      </w:pPr>
      <w:r w:rsidRPr="00973DD0">
        <w:t>9</w:t>
      </w:r>
      <w:r w:rsidR="0092771C">
        <w:t>9</w:t>
      </w:r>
      <w:r w:rsidRPr="00973DD0">
        <w:t xml:space="preserve">) </w:t>
      </w:r>
      <w:r w:rsidR="00E25040" w:rsidRPr="00973DD0">
        <w:t>« </w:t>
      </w:r>
      <w:r w:rsidRPr="00973DD0">
        <w:t>Ak</w:t>
      </w:r>
      <w:r w:rsidR="00E25040" w:rsidRPr="00973DD0">
        <w:t>o »</w:t>
      </w:r>
      <w:r w:rsidRPr="00973DD0">
        <w:t xml:space="preserve"> SIAMPANI</w:t>
      </w:r>
      <w:r w:rsidR="00973DD0" w:rsidRPr="00973DD0">
        <w:t>, née le 28 mai 1998</w:t>
      </w:r>
    </w:p>
    <w:p w:rsidR="009849E9" w:rsidRPr="00973DD0" w:rsidRDefault="0092771C" w:rsidP="003C7197">
      <w:pPr>
        <w:pStyle w:val="JuPara"/>
        <w:keepNext/>
        <w:keepLines/>
      </w:pPr>
      <w:r>
        <w:t>100</w:t>
      </w:r>
      <w:r w:rsidR="009849E9" w:rsidRPr="00973DD0">
        <w:t>) Yannoula SIAMPANI</w:t>
      </w:r>
      <w:r w:rsidR="00973DD0" w:rsidRPr="00973DD0">
        <w:t>, née 1er mars 2003</w:t>
      </w:r>
    </w:p>
    <w:p w:rsidR="009849E9" w:rsidRPr="00973DD0" w:rsidRDefault="009849E9" w:rsidP="003C7197">
      <w:pPr>
        <w:pStyle w:val="JuPara"/>
        <w:keepNext/>
        <w:keepLines/>
      </w:pPr>
      <w:r w:rsidRPr="00973DD0">
        <w:t>10</w:t>
      </w:r>
      <w:r w:rsidR="0092771C">
        <w:t>1</w:t>
      </w:r>
      <w:r w:rsidRPr="00973DD0">
        <w:t>) Angeliki SIAMPANI</w:t>
      </w:r>
      <w:r w:rsidR="00973DD0" w:rsidRPr="00973DD0">
        <w:t>, née le 7 janvier 1974</w:t>
      </w:r>
    </w:p>
    <w:p w:rsidR="009849E9" w:rsidRPr="00CD3AE7" w:rsidRDefault="009849E9" w:rsidP="009849E9">
      <w:pPr>
        <w:pStyle w:val="JuPara"/>
        <w:rPr>
          <w:b/>
          <w:u w:val="single"/>
        </w:rPr>
      </w:pPr>
      <w:r w:rsidRPr="00CD3AE7">
        <w:rPr>
          <w:b/>
          <w:u w:val="single"/>
        </w:rPr>
        <w:t>Vingt-cinquième famille</w:t>
      </w:r>
      <w:r w:rsidR="00D96DBC">
        <w:rPr>
          <w:b/>
          <w:u w:val="single"/>
        </w:rPr>
        <w:t xml:space="preserve"> (4 enfants et 1 parent)</w:t>
      </w:r>
    </w:p>
    <w:p w:rsidR="009849E9" w:rsidRPr="00113FBD" w:rsidRDefault="009849E9" w:rsidP="009849E9">
      <w:pPr>
        <w:pStyle w:val="JuPara"/>
      </w:pPr>
      <w:r w:rsidRPr="00113FBD">
        <w:t>10</w:t>
      </w:r>
      <w:r w:rsidR="0092771C">
        <w:t>2</w:t>
      </w:r>
      <w:r w:rsidRPr="00113FBD">
        <w:t>) Nikolaos MOURATIS</w:t>
      </w:r>
      <w:r w:rsidR="00D96DBC">
        <w:t>, né le 12 mars 1995</w:t>
      </w:r>
    </w:p>
    <w:p w:rsidR="009849E9" w:rsidRPr="00113FBD" w:rsidRDefault="009849E9" w:rsidP="009849E9">
      <w:pPr>
        <w:pStyle w:val="JuPara"/>
      </w:pPr>
      <w:r w:rsidRPr="00113FBD">
        <w:t>10</w:t>
      </w:r>
      <w:r w:rsidR="0092771C">
        <w:t>3</w:t>
      </w:r>
      <w:r w:rsidRPr="00113FBD">
        <w:t>) Eleni MOURATI</w:t>
      </w:r>
      <w:r w:rsidR="00D96DBC">
        <w:t>, née le 28 février 1996</w:t>
      </w:r>
    </w:p>
    <w:p w:rsidR="009849E9" w:rsidRPr="00113FBD" w:rsidRDefault="009849E9" w:rsidP="009849E9">
      <w:pPr>
        <w:pStyle w:val="JuPara"/>
      </w:pPr>
      <w:r w:rsidRPr="00113FBD">
        <w:t>10</w:t>
      </w:r>
      <w:r w:rsidR="0092771C">
        <w:t>4</w:t>
      </w:r>
      <w:r w:rsidRPr="00113FBD">
        <w:t>) Anastasia MOURATI</w:t>
      </w:r>
      <w:r w:rsidR="00D96DBC">
        <w:t>, née le 12 janvier 1997</w:t>
      </w:r>
    </w:p>
    <w:p w:rsidR="009849E9" w:rsidRPr="00113FBD" w:rsidRDefault="009849E9" w:rsidP="009849E9">
      <w:pPr>
        <w:pStyle w:val="JuPara"/>
      </w:pPr>
      <w:r w:rsidRPr="00113FBD">
        <w:t>10</w:t>
      </w:r>
      <w:r w:rsidR="0092771C">
        <w:t>5</w:t>
      </w:r>
      <w:r w:rsidRPr="00113FBD">
        <w:t xml:space="preserve">) </w:t>
      </w:r>
      <w:r w:rsidR="00E25040">
        <w:t>« </w:t>
      </w:r>
      <w:r w:rsidRPr="00113FBD">
        <w:t>Ako</w:t>
      </w:r>
      <w:r w:rsidR="00E25040">
        <w:t> »</w:t>
      </w:r>
      <w:r w:rsidRPr="00113FBD">
        <w:t xml:space="preserve"> MOURATI</w:t>
      </w:r>
      <w:r w:rsidR="00D96DBC">
        <w:t>, née le 14 janvier 1998</w:t>
      </w:r>
    </w:p>
    <w:p w:rsidR="009849E9" w:rsidRDefault="009849E9" w:rsidP="009849E9">
      <w:pPr>
        <w:pStyle w:val="JuPara"/>
      </w:pPr>
      <w:r>
        <w:t>10</w:t>
      </w:r>
      <w:r w:rsidR="0092771C">
        <w:t>6</w:t>
      </w:r>
      <w:r>
        <w:t>) Ioanna SIAMPANI</w:t>
      </w:r>
      <w:r w:rsidR="00D96DBC">
        <w:t>, née le 27 octobre 1979</w:t>
      </w:r>
    </w:p>
    <w:p w:rsidR="009849E9" w:rsidRPr="00524FAE" w:rsidRDefault="009849E9" w:rsidP="009849E9">
      <w:pPr>
        <w:pStyle w:val="JuPara"/>
        <w:rPr>
          <w:b/>
          <w:u w:val="single"/>
        </w:rPr>
      </w:pPr>
      <w:r w:rsidRPr="00524FAE">
        <w:rPr>
          <w:b/>
          <w:u w:val="single"/>
        </w:rPr>
        <w:t>Vingt-sixième famille</w:t>
      </w:r>
      <w:r w:rsidR="00D96DBC">
        <w:rPr>
          <w:b/>
          <w:u w:val="single"/>
        </w:rPr>
        <w:t xml:space="preserve"> (1 enfant et 1 parent)</w:t>
      </w:r>
    </w:p>
    <w:p w:rsidR="009849E9" w:rsidRDefault="009849E9" w:rsidP="009849E9">
      <w:pPr>
        <w:pStyle w:val="JuPara"/>
      </w:pPr>
      <w:r>
        <w:t>10</w:t>
      </w:r>
      <w:r w:rsidR="0092771C">
        <w:t>7</w:t>
      </w:r>
      <w:r>
        <w:t>) « Ako » KARAHALIOU</w:t>
      </w:r>
      <w:r w:rsidR="00D96DBC">
        <w:t>, née le 19 février 1999</w:t>
      </w:r>
    </w:p>
    <w:p w:rsidR="009849E9" w:rsidRDefault="009849E9" w:rsidP="009849E9">
      <w:pPr>
        <w:pStyle w:val="JuPara"/>
      </w:pPr>
      <w:r>
        <w:t>10</w:t>
      </w:r>
      <w:r w:rsidR="0092771C">
        <w:t>8</w:t>
      </w:r>
      <w:r>
        <w:t>) Zoe KARAHALIOU</w:t>
      </w:r>
      <w:r w:rsidR="00D96DBC">
        <w:t>, née le 22 octobre 1969</w:t>
      </w:r>
    </w:p>
    <w:p w:rsidR="009849E9" w:rsidRPr="00524FAE" w:rsidRDefault="009849E9" w:rsidP="009849E9">
      <w:pPr>
        <w:pStyle w:val="JuPara"/>
        <w:rPr>
          <w:b/>
          <w:u w:val="single"/>
        </w:rPr>
      </w:pPr>
      <w:r>
        <w:rPr>
          <w:b/>
          <w:u w:val="single"/>
        </w:rPr>
        <w:t>Vingt-septiè</w:t>
      </w:r>
      <w:r w:rsidRPr="00524FAE">
        <w:rPr>
          <w:b/>
          <w:u w:val="single"/>
        </w:rPr>
        <w:t>me famille</w:t>
      </w:r>
      <w:r w:rsidR="00D96DBC">
        <w:rPr>
          <w:b/>
          <w:u w:val="single"/>
        </w:rPr>
        <w:t xml:space="preserve"> (2 enfants et 1 parent)</w:t>
      </w:r>
    </w:p>
    <w:p w:rsidR="009849E9" w:rsidRPr="00D96DBC" w:rsidRDefault="009849E9" w:rsidP="009849E9">
      <w:pPr>
        <w:pStyle w:val="JuPara"/>
      </w:pPr>
      <w:r w:rsidRPr="00D96DBC">
        <w:t>10</w:t>
      </w:r>
      <w:r w:rsidR="0092771C">
        <w:t>9</w:t>
      </w:r>
      <w:r w:rsidRPr="00D96DBC">
        <w:t>) « Ako » TSAKIRIS</w:t>
      </w:r>
      <w:r w:rsidR="00D96DBC" w:rsidRPr="00D96DBC">
        <w:t>, né le 27 mars 1997</w:t>
      </w:r>
    </w:p>
    <w:p w:rsidR="009849E9" w:rsidRPr="00D96DBC" w:rsidRDefault="009849E9" w:rsidP="009849E9">
      <w:pPr>
        <w:pStyle w:val="JuPara"/>
      </w:pPr>
      <w:r w:rsidRPr="00D96DBC">
        <w:t>1</w:t>
      </w:r>
      <w:r w:rsidR="0092771C">
        <w:t>10</w:t>
      </w:r>
      <w:r w:rsidRPr="00D96DBC">
        <w:t>) « Ako » TSAKIRIS</w:t>
      </w:r>
      <w:r w:rsidR="00D96DBC" w:rsidRPr="00D96DBC">
        <w:t>, né le 25 janvier 2002</w:t>
      </w:r>
    </w:p>
    <w:p w:rsidR="009849E9" w:rsidRPr="00D96DBC" w:rsidRDefault="009849E9" w:rsidP="009849E9">
      <w:pPr>
        <w:pStyle w:val="JuPara"/>
      </w:pPr>
      <w:r w:rsidRPr="00D96DBC">
        <w:t>11</w:t>
      </w:r>
      <w:r w:rsidR="0092771C">
        <w:t>1</w:t>
      </w:r>
      <w:r w:rsidRPr="00D96DBC">
        <w:t>) Christos TSAKIRIS</w:t>
      </w:r>
      <w:r w:rsidR="00D96DBC" w:rsidRPr="00D96DBC">
        <w:t>, né le 14 septembre 1967</w:t>
      </w:r>
    </w:p>
    <w:p w:rsidR="009849E9" w:rsidRPr="00CD3AE7" w:rsidRDefault="009849E9" w:rsidP="009849E9">
      <w:pPr>
        <w:pStyle w:val="JuPara"/>
        <w:rPr>
          <w:b/>
          <w:u w:val="single"/>
        </w:rPr>
      </w:pPr>
      <w:r w:rsidRPr="00CD3AE7">
        <w:rPr>
          <w:b/>
          <w:u w:val="single"/>
        </w:rPr>
        <w:t>Vingt-huitième famille</w:t>
      </w:r>
      <w:r w:rsidR="00D96DBC">
        <w:rPr>
          <w:b/>
          <w:u w:val="single"/>
        </w:rPr>
        <w:t xml:space="preserve"> (1 enfant et 1 parent)</w:t>
      </w:r>
    </w:p>
    <w:p w:rsidR="009849E9" w:rsidRPr="00CD3AE7" w:rsidRDefault="009849E9" w:rsidP="009849E9">
      <w:pPr>
        <w:pStyle w:val="JuPara"/>
      </w:pPr>
      <w:r w:rsidRPr="00CD3AE7">
        <w:t>11</w:t>
      </w:r>
      <w:r w:rsidR="0092771C">
        <w:t>2</w:t>
      </w:r>
      <w:r w:rsidRPr="00CD3AE7">
        <w:t xml:space="preserve">) </w:t>
      </w:r>
      <w:r w:rsidR="00E25040">
        <w:t>« </w:t>
      </w:r>
      <w:r w:rsidRPr="00CD3AE7">
        <w:t>Ako</w:t>
      </w:r>
      <w:r w:rsidR="00E25040">
        <w:t> »</w:t>
      </w:r>
      <w:r w:rsidRPr="00CD3AE7">
        <w:t xml:space="preserve"> KAMPERI</w:t>
      </w:r>
      <w:r w:rsidR="00D96DBC">
        <w:t>, née le 1</w:t>
      </w:r>
      <w:r w:rsidR="00D96DBC" w:rsidRPr="00D96DBC">
        <w:rPr>
          <w:vertAlign w:val="superscript"/>
        </w:rPr>
        <w:t>er</w:t>
      </w:r>
      <w:r w:rsidR="00D96DBC">
        <w:t xml:space="preserve"> août 2003</w:t>
      </w:r>
    </w:p>
    <w:p w:rsidR="009849E9" w:rsidRPr="00CD3AE7" w:rsidRDefault="009849E9" w:rsidP="009849E9">
      <w:pPr>
        <w:pStyle w:val="JuPara"/>
      </w:pPr>
      <w:r w:rsidRPr="00CD3AE7">
        <w:t>11</w:t>
      </w:r>
      <w:r w:rsidR="0092771C">
        <w:t>3</w:t>
      </w:r>
      <w:r w:rsidRPr="00CD3AE7">
        <w:t>) Chrysovalandi KAMPERI</w:t>
      </w:r>
      <w:r w:rsidR="00D96DBC">
        <w:t>, née le 11 mars 1981</w:t>
      </w:r>
    </w:p>
    <w:p w:rsidR="009849E9" w:rsidRPr="00CD3AE7" w:rsidRDefault="009849E9" w:rsidP="009849E9">
      <w:pPr>
        <w:pStyle w:val="JuPara"/>
        <w:rPr>
          <w:b/>
          <w:u w:val="single"/>
        </w:rPr>
      </w:pPr>
      <w:r w:rsidRPr="00CD3AE7">
        <w:rPr>
          <w:b/>
          <w:u w:val="single"/>
        </w:rPr>
        <w:t>Vingt-neuvième famille</w:t>
      </w:r>
      <w:r w:rsidR="00D96DBC">
        <w:rPr>
          <w:b/>
          <w:u w:val="single"/>
        </w:rPr>
        <w:t xml:space="preserve"> (2 enfants et 1 parent)</w:t>
      </w:r>
    </w:p>
    <w:p w:rsidR="009849E9" w:rsidRPr="00D96DBC" w:rsidRDefault="009849E9" w:rsidP="009849E9">
      <w:pPr>
        <w:pStyle w:val="JuPara"/>
      </w:pPr>
      <w:r w:rsidRPr="00D96DBC">
        <w:t>11</w:t>
      </w:r>
      <w:r w:rsidR="0092771C">
        <w:t>4</w:t>
      </w:r>
      <w:r w:rsidRPr="00D96DBC">
        <w:t>) Ioanna SIAMPANI</w:t>
      </w:r>
      <w:r w:rsidR="00D96DBC" w:rsidRPr="00D96DBC">
        <w:t>, née le 29 décembre 1999</w:t>
      </w:r>
    </w:p>
    <w:p w:rsidR="009849E9" w:rsidRPr="00D96DBC" w:rsidRDefault="009849E9" w:rsidP="009849E9">
      <w:pPr>
        <w:pStyle w:val="JuPara"/>
      </w:pPr>
      <w:r w:rsidRPr="00D96DBC">
        <w:t>11</w:t>
      </w:r>
      <w:r w:rsidR="0092771C">
        <w:t>5</w:t>
      </w:r>
      <w:r w:rsidRPr="00D96DBC">
        <w:t xml:space="preserve">) </w:t>
      </w:r>
      <w:r w:rsidR="00E25040" w:rsidRPr="00D96DBC">
        <w:t>« </w:t>
      </w:r>
      <w:r w:rsidRPr="00D96DBC">
        <w:t>Ako</w:t>
      </w:r>
      <w:r w:rsidR="00E25040" w:rsidRPr="00D96DBC">
        <w:t> »</w:t>
      </w:r>
      <w:r w:rsidRPr="00D96DBC">
        <w:t xml:space="preserve"> SIAMPANI</w:t>
      </w:r>
      <w:r w:rsidR="00D96DBC" w:rsidRPr="00D96DBC">
        <w:t>, née le 12 janvier 2004</w:t>
      </w:r>
    </w:p>
    <w:p w:rsidR="009849E9" w:rsidRPr="00D96DBC" w:rsidRDefault="009849E9" w:rsidP="009849E9">
      <w:pPr>
        <w:pStyle w:val="JuPara"/>
      </w:pPr>
      <w:r w:rsidRPr="00D96DBC">
        <w:t>11</w:t>
      </w:r>
      <w:r w:rsidR="0092771C">
        <w:t>6</w:t>
      </w:r>
      <w:r w:rsidRPr="00D96DBC">
        <w:t>) Zoe SIAMPANI</w:t>
      </w:r>
      <w:r w:rsidR="00D96DBC" w:rsidRPr="00D96DBC">
        <w:t>, née le 20 juin 1981</w:t>
      </w:r>
    </w:p>
    <w:p w:rsidR="009849E9" w:rsidRPr="00CD3AE7" w:rsidRDefault="009849E9" w:rsidP="009849E9">
      <w:pPr>
        <w:pStyle w:val="JuPara"/>
        <w:rPr>
          <w:b/>
          <w:u w:val="single"/>
        </w:rPr>
      </w:pPr>
      <w:r w:rsidRPr="00CD3AE7">
        <w:rPr>
          <w:b/>
          <w:u w:val="single"/>
        </w:rPr>
        <w:t>Trentième famille</w:t>
      </w:r>
      <w:r w:rsidR="00587BE5">
        <w:rPr>
          <w:b/>
          <w:u w:val="single"/>
        </w:rPr>
        <w:t xml:space="preserve"> (3 enfants et 1 parent)</w:t>
      </w:r>
    </w:p>
    <w:p w:rsidR="009849E9" w:rsidRPr="004A02B7" w:rsidRDefault="009849E9" w:rsidP="009849E9">
      <w:pPr>
        <w:pStyle w:val="JuPara"/>
      </w:pPr>
      <w:r w:rsidRPr="004A02B7">
        <w:t>11</w:t>
      </w:r>
      <w:r w:rsidR="0092771C">
        <w:t>7</w:t>
      </w:r>
      <w:r w:rsidRPr="004A02B7">
        <w:t xml:space="preserve">) </w:t>
      </w:r>
      <w:r w:rsidR="00E25040">
        <w:t>« </w:t>
      </w:r>
      <w:r w:rsidRPr="004A02B7">
        <w:t>Ako</w:t>
      </w:r>
      <w:r w:rsidR="00E25040">
        <w:t> »</w:t>
      </w:r>
      <w:r w:rsidRPr="004A02B7">
        <w:t xml:space="preserve"> SAÏNI</w:t>
      </w:r>
      <w:r w:rsidR="00587BE5">
        <w:t>, née le 5 décembre 1994</w:t>
      </w:r>
    </w:p>
    <w:p w:rsidR="009849E9" w:rsidRPr="004A02B7" w:rsidRDefault="009849E9" w:rsidP="009849E9">
      <w:pPr>
        <w:pStyle w:val="JuPara"/>
      </w:pPr>
      <w:r w:rsidRPr="004A02B7">
        <w:t>11</w:t>
      </w:r>
      <w:r w:rsidR="0092771C">
        <w:t>8</w:t>
      </w:r>
      <w:r w:rsidRPr="004A02B7">
        <w:t xml:space="preserve">) </w:t>
      </w:r>
      <w:r w:rsidR="00E25040">
        <w:t>« </w:t>
      </w:r>
      <w:r w:rsidRPr="004A02B7">
        <w:t>Ako</w:t>
      </w:r>
      <w:r w:rsidR="00E25040">
        <w:t> »</w:t>
      </w:r>
      <w:r w:rsidRPr="004A02B7">
        <w:t xml:space="preserve"> SAÏNI</w:t>
      </w:r>
      <w:r w:rsidR="00587BE5">
        <w:t>, née le 5 décembre 1994</w:t>
      </w:r>
    </w:p>
    <w:p w:rsidR="009849E9" w:rsidRDefault="009849E9" w:rsidP="009849E9">
      <w:pPr>
        <w:pStyle w:val="JuPara"/>
      </w:pPr>
      <w:r w:rsidRPr="004A02B7">
        <w:t>11</w:t>
      </w:r>
      <w:r w:rsidR="0092771C">
        <w:t>9</w:t>
      </w:r>
      <w:r w:rsidRPr="004A02B7">
        <w:t>) Ioannis SA</w:t>
      </w:r>
      <w:r>
        <w:t>ÏNIS</w:t>
      </w:r>
      <w:r w:rsidR="00587BE5">
        <w:t>, né le 25 décembre 1995</w:t>
      </w:r>
    </w:p>
    <w:p w:rsidR="009849E9" w:rsidRDefault="009849E9" w:rsidP="009849E9">
      <w:pPr>
        <w:pStyle w:val="JuPara"/>
      </w:pPr>
      <w:r>
        <w:t>1</w:t>
      </w:r>
      <w:r w:rsidR="0092771C">
        <w:t>20</w:t>
      </w:r>
      <w:r>
        <w:t>) Yannoula SAÏNI</w:t>
      </w:r>
      <w:r w:rsidR="00587BE5">
        <w:t>, née le 30 décembre 1977</w:t>
      </w:r>
    </w:p>
    <w:p w:rsidR="009849E9" w:rsidRPr="00524FAE" w:rsidRDefault="009849E9" w:rsidP="009849E9">
      <w:pPr>
        <w:pStyle w:val="JuPara"/>
        <w:rPr>
          <w:b/>
          <w:u w:val="single"/>
        </w:rPr>
      </w:pPr>
      <w:r w:rsidRPr="00524FAE">
        <w:rPr>
          <w:b/>
          <w:u w:val="single"/>
        </w:rPr>
        <w:t>Trente</w:t>
      </w:r>
      <w:r w:rsidR="00386AA9">
        <w:rPr>
          <w:b/>
          <w:u w:val="single"/>
        </w:rPr>
        <w:t xml:space="preserve"> </w:t>
      </w:r>
      <w:r w:rsidRPr="00524FAE">
        <w:rPr>
          <w:b/>
          <w:u w:val="single"/>
        </w:rPr>
        <w:t>et</w:t>
      </w:r>
      <w:r w:rsidR="00386AA9">
        <w:rPr>
          <w:b/>
          <w:u w:val="single"/>
        </w:rPr>
        <w:t xml:space="preserve"> </w:t>
      </w:r>
      <w:r w:rsidRPr="00524FAE">
        <w:rPr>
          <w:b/>
          <w:u w:val="single"/>
        </w:rPr>
        <w:t>unième famille</w:t>
      </w:r>
      <w:r w:rsidR="00587BE5">
        <w:rPr>
          <w:b/>
          <w:u w:val="single"/>
        </w:rPr>
        <w:t xml:space="preserve"> (1 enfant et 1 parent)</w:t>
      </w:r>
    </w:p>
    <w:p w:rsidR="009849E9" w:rsidRDefault="009849E9" w:rsidP="009849E9">
      <w:pPr>
        <w:pStyle w:val="JuPara"/>
      </w:pPr>
      <w:r>
        <w:t>12</w:t>
      </w:r>
      <w:r w:rsidR="0092771C">
        <w:t>1</w:t>
      </w:r>
      <w:r>
        <w:t>) Maria-Eleni SIAMPANI</w:t>
      </w:r>
      <w:r w:rsidR="00587BE5">
        <w:t>, née le 12 décembre 2002</w:t>
      </w:r>
    </w:p>
    <w:p w:rsidR="009849E9" w:rsidRDefault="009849E9" w:rsidP="009849E9">
      <w:pPr>
        <w:pStyle w:val="JuPara"/>
      </w:pPr>
      <w:r>
        <w:t>12</w:t>
      </w:r>
      <w:r w:rsidR="0092771C">
        <w:t>2</w:t>
      </w:r>
      <w:r>
        <w:t>) Vasiliki SIAMPANI</w:t>
      </w:r>
      <w:r w:rsidR="00587BE5">
        <w:t>, née le 30 mars 1984</w:t>
      </w:r>
    </w:p>
    <w:p w:rsidR="009849E9" w:rsidRPr="00550E29" w:rsidRDefault="009849E9" w:rsidP="009849E9">
      <w:pPr>
        <w:pStyle w:val="JuPara"/>
        <w:rPr>
          <w:b/>
          <w:u w:val="single"/>
        </w:rPr>
      </w:pPr>
      <w:r w:rsidRPr="00550E29">
        <w:rPr>
          <w:b/>
          <w:u w:val="single"/>
        </w:rPr>
        <w:t>Trente-deuxième famille</w:t>
      </w:r>
      <w:r w:rsidR="00587BE5">
        <w:rPr>
          <w:b/>
          <w:u w:val="single"/>
        </w:rPr>
        <w:t xml:space="preserve"> (1 enfant et 1 parent)</w:t>
      </w:r>
    </w:p>
    <w:p w:rsidR="009849E9" w:rsidRDefault="009849E9" w:rsidP="009849E9">
      <w:pPr>
        <w:pStyle w:val="JuPara"/>
      </w:pPr>
      <w:r>
        <w:t>12</w:t>
      </w:r>
      <w:r w:rsidR="0092771C">
        <w:t>3</w:t>
      </w:r>
      <w:r>
        <w:t>) Eleni SAMPANI</w:t>
      </w:r>
      <w:r w:rsidR="00587BE5">
        <w:t>, née le 6 décembre 2003</w:t>
      </w:r>
    </w:p>
    <w:p w:rsidR="009849E9" w:rsidRPr="00CD3AE7" w:rsidRDefault="009849E9" w:rsidP="009849E9">
      <w:pPr>
        <w:pStyle w:val="JuPara"/>
      </w:pPr>
      <w:r w:rsidRPr="00CD3AE7">
        <w:t>12</w:t>
      </w:r>
      <w:r w:rsidR="0092771C">
        <w:t>4</w:t>
      </w:r>
      <w:r w:rsidRPr="00CD3AE7">
        <w:t>) Christina SAÏNI</w:t>
      </w:r>
      <w:r w:rsidR="00587BE5">
        <w:t>, née le 3 mai 1987</w:t>
      </w:r>
    </w:p>
    <w:p w:rsidR="009849E9" w:rsidRPr="00CD3AE7" w:rsidRDefault="009849E9" w:rsidP="009849E9">
      <w:pPr>
        <w:pStyle w:val="JuPara"/>
        <w:rPr>
          <w:b/>
          <w:u w:val="single"/>
        </w:rPr>
      </w:pPr>
      <w:r w:rsidRPr="00CD3AE7">
        <w:rPr>
          <w:b/>
          <w:u w:val="single"/>
        </w:rPr>
        <w:t>Trente-troisième famille</w:t>
      </w:r>
      <w:r w:rsidR="00587BE5">
        <w:rPr>
          <w:b/>
          <w:u w:val="single"/>
        </w:rPr>
        <w:t xml:space="preserve"> (2 enfants et 1 parent)</w:t>
      </w:r>
    </w:p>
    <w:p w:rsidR="009849E9" w:rsidRPr="00587BE5" w:rsidRDefault="009849E9" w:rsidP="009849E9">
      <w:pPr>
        <w:pStyle w:val="JuPara"/>
      </w:pPr>
      <w:r w:rsidRPr="00587BE5">
        <w:t>12</w:t>
      </w:r>
      <w:r w:rsidR="0092771C">
        <w:t>5</w:t>
      </w:r>
      <w:r w:rsidRPr="00587BE5">
        <w:t>) Ioanna CHRISTAKI</w:t>
      </w:r>
      <w:r w:rsidR="00587BE5" w:rsidRPr="00587BE5">
        <w:t>, née 21 avril 1995</w:t>
      </w:r>
    </w:p>
    <w:p w:rsidR="009849E9" w:rsidRPr="00587BE5" w:rsidRDefault="009849E9" w:rsidP="009849E9">
      <w:pPr>
        <w:pStyle w:val="JuPara"/>
      </w:pPr>
      <w:r w:rsidRPr="00587BE5">
        <w:t>12</w:t>
      </w:r>
      <w:r w:rsidR="0092771C">
        <w:t>6</w:t>
      </w:r>
      <w:r w:rsidRPr="00587BE5">
        <w:t>) Thomas CHRISTAKIS</w:t>
      </w:r>
      <w:r w:rsidR="00587BE5" w:rsidRPr="00587BE5">
        <w:t>, né le 22 mai 1997</w:t>
      </w:r>
    </w:p>
    <w:p w:rsidR="009849E9" w:rsidRPr="00587BE5" w:rsidRDefault="009849E9" w:rsidP="009849E9">
      <w:pPr>
        <w:pStyle w:val="JuPara"/>
      </w:pPr>
      <w:r w:rsidRPr="00587BE5">
        <w:t>12</w:t>
      </w:r>
      <w:r w:rsidR="0092771C">
        <w:t>7</w:t>
      </w:r>
      <w:r w:rsidRPr="00587BE5">
        <w:t>) Ioannis CHRISTAKIS</w:t>
      </w:r>
      <w:r w:rsidR="00587BE5" w:rsidRPr="00587BE5">
        <w:t>, né le 20 juin 1974</w:t>
      </w:r>
    </w:p>
    <w:p w:rsidR="009849E9" w:rsidRPr="00CD3AE7" w:rsidRDefault="009849E9" w:rsidP="003C7197">
      <w:pPr>
        <w:pStyle w:val="JuPara"/>
        <w:keepNext/>
        <w:keepLines/>
        <w:rPr>
          <w:b/>
          <w:u w:val="single"/>
        </w:rPr>
      </w:pPr>
      <w:r w:rsidRPr="00CD3AE7">
        <w:rPr>
          <w:b/>
          <w:u w:val="single"/>
        </w:rPr>
        <w:t>Trente-quatrième famille</w:t>
      </w:r>
      <w:r w:rsidR="00587BE5">
        <w:rPr>
          <w:b/>
          <w:u w:val="single"/>
        </w:rPr>
        <w:t xml:space="preserve"> (3 enfants et 1 parent)</w:t>
      </w:r>
    </w:p>
    <w:p w:rsidR="009849E9" w:rsidRPr="00CD3AE7" w:rsidRDefault="009849E9" w:rsidP="003C7197">
      <w:pPr>
        <w:pStyle w:val="JuPara"/>
        <w:keepNext/>
        <w:keepLines/>
      </w:pPr>
      <w:r w:rsidRPr="00CD3AE7">
        <w:t>12</w:t>
      </w:r>
      <w:r w:rsidR="0092771C">
        <w:t>8</w:t>
      </w:r>
      <w:r w:rsidRPr="00CD3AE7">
        <w:t>) Maria TSAKIRI</w:t>
      </w:r>
      <w:r w:rsidR="00587BE5">
        <w:t>, née le 3 avril 1994</w:t>
      </w:r>
    </w:p>
    <w:p w:rsidR="009849E9" w:rsidRPr="00AA3200" w:rsidRDefault="009849E9" w:rsidP="003C7197">
      <w:pPr>
        <w:pStyle w:val="JuPara"/>
        <w:keepNext/>
        <w:keepLines/>
      </w:pPr>
      <w:r w:rsidRPr="00AA3200">
        <w:t>12</w:t>
      </w:r>
      <w:r w:rsidR="0092771C">
        <w:t>9</w:t>
      </w:r>
      <w:r w:rsidRPr="00AA3200">
        <w:t>) Ioannis TSAKIRIS</w:t>
      </w:r>
      <w:r w:rsidR="00587BE5">
        <w:t>, né le 16 octobre 1996</w:t>
      </w:r>
    </w:p>
    <w:p w:rsidR="009849E9" w:rsidRPr="00AA3200" w:rsidRDefault="009849E9" w:rsidP="003C7197">
      <w:pPr>
        <w:pStyle w:val="JuPara"/>
        <w:keepNext/>
        <w:keepLines/>
      </w:pPr>
      <w:r w:rsidRPr="00AA3200">
        <w:t>1</w:t>
      </w:r>
      <w:r w:rsidR="0092771C">
        <w:t>30</w:t>
      </w:r>
      <w:r w:rsidRPr="00AA3200">
        <w:t xml:space="preserve">) </w:t>
      </w:r>
      <w:r w:rsidR="00E25040">
        <w:t>« </w:t>
      </w:r>
      <w:r w:rsidRPr="00AA3200">
        <w:t>Ako</w:t>
      </w:r>
      <w:r w:rsidR="00E25040">
        <w:t> »</w:t>
      </w:r>
      <w:r w:rsidRPr="00AA3200">
        <w:t xml:space="preserve"> TSAKIRI</w:t>
      </w:r>
      <w:r w:rsidR="00587BE5">
        <w:t>, née le 14 juillet 2001</w:t>
      </w:r>
    </w:p>
    <w:p w:rsidR="009849E9" w:rsidRDefault="009849E9" w:rsidP="003C7197">
      <w:pPr>
        <w:pStyle w:val="JuPara"/>
        <w:keepNext/>
        <w:keepLines/>
      </w:pPr>
      <w:r w:rsidRPr="00AA3200">
        <w:t>1</w:t>
      </w:r>
      <w:r w:rsidR="00587BE5">
        <w:t>3</w:t>
      </w:r>
      <w:r w:rsidR="0092771C">
        <w:t>1</w:t>
      </w:r>
      <w:r w:rsidRPr="00AA3200">
        <w:t>) Dimitroula TSAKIRI</w:t>
      </w:r>
      <w:r w:rsidR="00587BE5">
        <w:t xml:space="preserve">, née le </w:t>
      </w:r>
      <w:r w:rsidR="00BD64F0">
        <w:t>15 septembre 1976</w:t>
      </w:r>
    </w:p>
    <w:p w:rsidR="009849E9" w:rsidRPr="00550E29" w:rsidRDefault="009849E9" w:rsidP="009849E9">
      <w:pPr>
        <w:pStyle w:val="JuPara"/>
        <w:rPr>
          <w:b/>
          <w:u w:val="single"/>
        </w:rPr>
      </w:pPr>
      <w:r w:rsidRPr="00550E29">
        <w:rPr>
          <w:b/>
          <w:u w:val="single"/>
        </w:rPr>
        <w:t>Trente-cinquième famille</w:t>
      </w:r>
      <w:r w:rsidR="00BD64F0">
        <w:rPr>
          <w:b/>
          <w:u w:val="single"/>
        </w:rPr>
        <w:t xml:space="preserve"> (1 enfant et 1 parent)</w:t>
      </w:r>
    </w:p>
    <w:p w:rsidR="009849E9" w:rsidRDefault="009849E9" w:rsidP="009849E9">
      <w:pPr>
        <w:pStyle w:val="JuPara"/>
      </w:pPr>
      <w:r>
        <w:t>13</w:t>
      </w:r>
      <w:r w:rsidR="0092771C">
        <w:t>2</w:t>
      </w:r>
      <w:r>
        <w:t>) Evangelia SIAMPANI</w:t>
      </w:r>
      <w:r w:rsidR="00BD64F0">
        <w:t>, née le 1</w:t>
      </w:r>
      <w:r w:rsidR="00BD64F0" w:rsidRPr="00BD64F0">
        <w:rPr>
          <w:vertAlign w:val="superscript"/>
        </w:rPr>
        <w:t>er</w:t>
      </w:r>
      <w:r w:rsidR="00BD64F0">
        <w:t xml:space="preserve"> février 2003</w:t>
      </w:r>
    </w:p>
    <w:p w:rsidR="009849E9" w:rsidRDefault="009849E9" w:rsidP="009849E9">
      <w:pPr>
        <w:pStyle w:val="JuPara"/>
      </w:pPr>
      <w:r>
        <w:t>13</w:t>
      </w:r>
      <w:r w:rsidR="0092771C">
        <w:t>3</w:t>
      </w:r>
      <w:r>
        <w:t>) Zoe SIAMPANI</w:t>
      </w:r>
      <w:r w:rsidR="00BD64F0">
        <w:t>, née le 18 février 1982</w:t>
      </w:r>
    </w:p>
    <w:p w:rsidR="009849E9" w:rsidRPr="009C520D" w:rsidRDefault="009849E9" w:rsidP="009849E9">
      <w:pPr>
        <w:pStyle w:val="JuPara"/>
        <w:rPr>
          <w:b/>
          <w:u w:val="single"/>
        </w:rPr>
      </w:pPr>
      <w:r w:rsidRPr="009C520D">
        <w:rPr>
          <w:b/>
          <w:u w:val="single"/>
        </w:rPr>
        <w:t>Trente-sixième famille</w:t>
      </w:r>
      <w:r w:rsidR="00BD64F0">
        <w:rPr>
          <w:b/>
          <w:u w:val="single"/>
        </w:rPr>
        <w:t xml:space="preserve"> (2 enfants et 1 parent)</w:t>
      </w:r>
    </w:p>
    <w:p w:rsidR="009849E9" w:rsidRDefault="009849E9" w:rsidP="009849E9">
      <w:pPr>
        <w:pStyle w:val="JuPara"/>
      </w:pPr>
      <w:r>
        <w:t>13</w:t>
      </w:r>
      <w:r w:rsidR="0092771C">
        <w:t>4</w:t>
      </w:r>
      <w:r>
        <w:t>) Panayotis TAFILIS</w:t>
      </w:r>
      <w:r w:rsidR="00BD64F0">
        <w:t>, né le 31 juillet 1994</w:t>
      </w:r>
    </w:p>
    <w:p w:rsidR="009849E9" w:rsidRDefault="009849E9" w:rsidP="009849E9">
      <w:pPr>
        <w:pStyle w:val="JuPara"/>
      </w:pPr>
      <w:r>
        <w:t>13</w:t>
      </w:r>
      <w:r w:rsidR="0092771C">
        <w:t>5</w:t>
      </w:r>
      <w:r>
        <w:t>) Paraskevas TAFILIS</w:t>
      </w:r>
      <w:r w:rsidR="00BD64F0">
        <w:t>, né le 14 septembre 1996</w:t>
      </w:r>
    </w:p>
    <w:p w:rsidR="009849E9" w:rsidRDefault="009849E9" w:rsidP="009849E9">
      <w:pPr>
        <w:pStyle w:val="JuPara"/>
      </w:pPr>
      <w:r>
        <w:t>13</w:t>
      </w:r>
      <w:r w:rsidR="0092771C">
        <w:t>6</w:t>
      </w:r>
      <w:r>
        <w:t>) Irini TAFILI</w:t>
      </w:r>
      <w:r w:rsidR="00BD64F0">
        <w:t>, née le 8 août 1973</w:t>
      </w:r>
    </w:p>
    <w:p w:rsidR="009849E9" w:rsidRPr="009C520D" w:rsidRDefault="009849E9" w:rsidP="009849E9">
      <w:pPr>
        <w:pStyle w:val="JuPara"/>
        <w:rPr>
          <w:b/>
          <w:u w:val="single"/>
        </w:rPr>
      </w:pPr>
      <w:r w:rsidRPr="009C520D">
        <w:rPr>
          <w:b/>
          <w:u w:val="single"/>
        </w:rPr>
        <w:t>Trente-septième famille</w:t>
      </w:r>
      <w:r w:rsidR="00BD64F0">
        <w:rPr>
          <w:b/>
          <w:u w:val="single"/>
        </w:rPr>
        <w:t xml:space="preserve"> (1 enfant et 1 parent)</w:t>
      </w:r>
    </w:p>
    <w:p w:rsidR="009849E9" w:rsidRDefault="009849E9" w:rsidP="009849E9">
      <w:pPr>
        <w:pStyle w:val="JuPara"/>
      </w:pPr>
      <w:r>
        <w:t>13</w:t>
      </w:r>
      <w:r w:rsidR="0092771C">
        <w:t>7</w:t>
      </w:r>
      <w:r>
        <w:t>) Antonios GARAGOUNIS</w:t>
      </w:r>
      <w:r w:rsidR="00BD64F0">
        <w:t>, né le 3 septembre 1994</w:t>
      </w:r>
    </w:p>
    <w:p w:rsidR="009849E9" w:rsidRDefault="009849E9" w:rsidP="009849E9">
      <w:pPr>
        <w:pStyle w:val="JuPara"/>
      </w:pPr>
      <w:r>
        <w:t>13</w:t>
      </w:r>
      <w:r w:rsidR="0092771C">
        <w:t>8</w:t>
      </w:r>
      <w:r>
        <w:t>) Konstantia SALI</w:t>
      </w:r>
      <w:r w:rsidR="00BD64F0">
        <w:t>, née le 10 novembre 1967</w:t>
      </w:r>
    </w:p>
    <w:p w:rsidR="009849E9" w:rsidRPr="009C520D" w:rsidRDefault="009849E9" w:rsidP="009849E9">
      <w:pPr>
        <w:pStyle w:val="JuPara"/>
        <w:rPr>
          <w:b/>
          <w:u w:val="single"/>
        </w:rPr>
      </w:pPr>
      <w:r w:rsidRPr="009C520D">
        <w:rPr>
          <w:b/>
          <w:u w:val="single"/>
        </w:rPr>
        <w:t>Trente-huitième famille</w:t>
      </w:r>
      <w:r w:rsidR="00BD64F0">
        <w:rPr>
          <w:b/>
          <w:u w:val="single"/>
        </w:rPr>
        <w:t xml:space="preserve"> (1 enfant et 1 parent)</w:t>
      </w:r>
    </w:p>
    <w:p w:rsidR="009849E9" w:rsidRDefault="009849E9" w:rsidP="009849E9">
      <w:pPr>
        <w:pStyle w:val="JuPara"/>
      </w:pPr>
      <w:r>
        <w:t>13</w:t>
      </w:r>
      <w:r w:rsidR="0092771C">
        <w:t>9</w:t>
      </w:r>
      <w:r>
        <w:t>) « Ako » SAMPANIS</w:t>
      </w:r>
      <w:r w:rsidR="00BD64F0">
        <w:t>, né le 27 avril 1994</w:t>
      </w:r>
    </w:p>
    <w:p w:rsidR="009849E9" w:rsidRPr="002F4A0B" w:rsidRDefault="009849E9" w:rsidP="002F4A0B">
      <w:pPr>
        <w:pStyle w:val="JuPara"/>
      </w:pPr>
      <w:r>
        <w:t>1</w:t>
      </w:r>
      <w:r w:rsidR="0092771C">
        <w:t>40</w:t>
      </w:r>
      <w:r>
        <w:t>) Vaïa TSAKIRI</w:t>
      </w:r>
      <w:r w:rsidR="00BD64F0">
        <w:t>, née le 10 mars 1956</w:t>
      </w:r>
    </w:p>
    <w:sectPr w:rsidR="009849E9" w:rsidRPr="002F4A0B" w:rsidSect="00B136CA">
      <w:headerReference w:type="even" r:id="rId17"/>
      <w:headerReference w:type="default" r:id="rId1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6B" w:rsidRDefault="0018056B">
      <w:r>
        <w:separator/>
      </w:r>
    </w:p>
  </w:endnote>
  <w:endnote w:type="continuationSeparator" w:id="0">
    <w:p w:rsidR="0018056B" w:rsidRDefault="0018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Pr="00150BFA" w:rsidRDefault="00E555B3" w:rsidP="009202F2">
    <w:pPr>
      <w:jc w:val="center"/>
      <w:rPr>
        <w:sz w:val="4"/>
        <w:szCs w:val="4"/>
      </w:rPr>
    </w:pPr>
    <w:r>
      <w:rPr>
        <w:noProof/>
        <w:sz w:val="4"/>
        <w:szCs w:val="4"/>
        <w:lang w:val="en-US" w:eastAsia="ja-JP"/>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894E9A" w:rsidRDefault="0089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6B" w:rsidRDefault="0018056B">
      <w:r>
        <w:separator/>
      </w:r>
    </w:p>
  </w:footnote>
  <w:footnote w:type="continuationSeparator" w:id="0">
    <w:p w:rsidR="0018056B" w:rsidRDefault="0018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Pr="000E496D" w:rsidRDefault="00894E9A" w:rsidP="009202F2">
    <w:pPr>
      <w:pStyle w:val="Ju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Pr="00C00F0F" w:rsidRDefault="00E555B3">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894E9A" w:rsidRDefault="0089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Default="00894E9A" w:rsidP="00B136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55B3">
      <w:rPr>
        <w:rStyle w:val="PageNumber"/>
        <w:noProof/>
      </w:rPr>
      <w:t>19</w:t>
    </w:r>
    <w:r>
      <w:rPr>
        <w:rStyle w:val="PageNumber"/>
      </w:rPr>
      <w:fldChar w:fldCharType="end"/>
    </w:r>
  </w:p>
  <w:p w:rsidR="00894E9A" w:rsidRPr="000E496D" w:rsidRDefault="00894E9A" w:rsidP="00B136CA">
    <w:pPr>
      <w:pStyle w:val="JuHeader"/>
      <w:ind w:right="360" w:firstLine="360"/>
    </w:pPr>
    <w:r w:rsidRPr="000E496D">
      <w:rPr>
        <w:rStyle w:val="PageNumber"/>
      </w:rPr>
      <w:tab/>
    </w:r>
    <w:r>
      <w:rPr>
        <w:noProof/>
      </w:rPr>
      <w:t xml:space="preserve">ARRÊT </w:t>
    </w:r>
    <w:r w:rsidRPr="000E496D">
      <w:t xml:space="preserve"> SAMPANI ET AUTRES c. GRÈCE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Default="00894E9A" w:rsidP="00B136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55B3">
      <w:rPr>
        <w:rStyle w:val="PageNumber"/>
        <w:noProof/>
      </w:rPr>
      <w:t>19</w:t>
    </w:r>
    <w:r>
      <w:rPr>
        <w:rStyle w:val="PageNumber"/>
      </w:rPr>
      <w:fldChar w:fldCharType="end"/>
    </w:r>
  </w:p>
  <w:p w:rsidR="00894E9A" w:rsidRPr="000E496D" w:rsidRDefault="00894E9A" w:rsidP="00B136CA">
    <w:pPr>
      <w:pStyle w:val="JuHeader"/>
      <w:ind w:right="360" w:firstLine="360"/>
    </w:pPr>
    <w:r>
      <w:tab/>
    </w:r>
    <w:r>
      <w:rPr>
        <w:noProof/>
      </w:rPr>
      <w:t xml:space="preserve">ARRÊT </w:t>
    </w:r>
    <w:r w:rsidRPr="000E496D">
      <w:t xml:space="preserve"> SAMPANI ET AUTRES c. GRÈCE</w:t>
    </w:r>
    <w:r w:rsidRPr="000E496D">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Default="00894E9A" w:rsidP="00B136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55B3">
      <w:rPr>
        <w:rStyle w:val="PageNumber"/>
        <w:noProof/>
      </w:rPr>
      <w:t>19</w:t>
    </w:r>
    <w:r>
      <w:rPr>
        <w:rStyle w:val="PageNumber"/>
      </w:rPr>
      <w:fldChar w:fldCharType="end"/>
    </w:r>
  </w:p>
  <w:p w:rsidR="00894E9A" w:rsidRDefault="00894E9A" w:rsidP="00B136CA">
    <w:pPr>
      <w:pStyle w:val="JuHeader"/>
      <w:ind w:right="360" w:firstLine="360"/>
    </w:pPr>
    <w:r w:rsidRPr="000E496D">
      <w:rPr>
        <w:rStyle w:val="PageNumber"/>
      </w:rPr>
      <w:tab/>
    </w:r>
    <w:r>
      <w:rPr>
        <w:noProof/>
      </w:rPr>
      <w:t xml:space="preserve">ARRÊT </w:t>
    </w:r>
    <w:r w:rsidRPr="000E496D">
      <w:t xml:space="preserve"> SAMPANI ET AUTRES c. GRÈCE</w:t>
    </w:r>
    <w:r>
      <w:t xml:space="preserve"> – OPINION SÉPARÉE</w:t>
    </w:r>
  </w:p>
  <w:p w:rsidR="00894E9A" w:rsidRPr="000E496D" w:rsidRDefault="00894E9A" w:rsidP="00B136CA">
    <w:pPr>
      <w:pStyle w:val="JuHeade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Default="00894E9A" w:rsidP="00B136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55B3">
      <w:rPr>
        <w:rStyle w:val="PageNumber"/>
        <w:noProof/>
      </w:rPr>
      <w:t>19</w:t>
    </w:r>
    <w:r>
      <w:rPr>
        <w:rStyle w:val="PageNumber"/>
      </w:rPr>
      <w:fldChar w:fldCharType="end"/>
    </w:r>
  </w:p>
  <w:p w:rsidR="00894E9A" w:rsidRPr="000E496D" w:rsidRDefault="00894E9A" w:rsidP="00B136CA">
    <w:pPr>
      <w:pStyle w:val="JuHeader"/>
      <w:ind w:right="360" w:firstLine="360"/>
    </w:pPr>
    <w:r>
      <w:tab/>
    </w:r>
    <w:r>
      <w:rPr>
        <w:noProof/>
      </w:rPr>
      <w:t xml:space="preserve">ARRÊT </w:t>
    </w:r>
    <w:r w:rsidRPr="000E496D">
      <w:t xml:space="preserve"> SAMPANI ET AUTRES c. GRÈCE</w:t>
    </w:r>
    <w:r w:rsidRPr="000E496D">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Default="00894E9A" w:rsidP="00B136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55B3">
      <w:rPr>
        <w:rStyle w:val="PageNumber"/>
        <w:noProof/>
      </w:rPr>
      <w:t>19</w:t>
    </w:r>
    <w:r>
      <w:rPr>
        <w:rStyle w:val="PageNumber"/>
      </w:rPr>
      <w:fldChar w:fldCharType="end"/>
    </w:r>
  </w:p>
  <w:p w:rsidR="00894E9A" w:rsidRDefault="00894E9A" w:rsidP="00B136CA">
    <w:pPr>
      <w:pStyle w:val="JuHeader"/>
      <w:ind w:right="360" w:firstLine="360"/>
    </w:pPr>
    <w:r w:rsidRPr="000E496D">
      <w:rPr>
        <w:rStyle w:val="PageNumber"/>
      </w:rPr>
      <w:tab/>
    </w:r>
    <w:r>
      <w:rPr>
        <w:noProof/>
      </w:rPr>
      <w:t xml:space="preserve">ARRÊT </w:t>
    </w:r>
    <w:r w:rsidRPr="000E496D">
      <w:t xml:space="preserve"> SAMPANI ET AUTRES c. GRÈCE</w:t>
    </w:r>
  </w:p>
  <w:p w:rsidR="00894E9A" w:rsidRPr="000E496D" w:rsidRDefault="00894E9A" w:rsidP="00B136CA">
    <w:pPr>
      <w:pStyle w:val="JuHeade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9A" w:rsidRDefault="00894E9A" w:rsidP="00B136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55B3">
      <w:rPr>
        <w:rStyle w:val="PageNumber"/>
        <w:noProof/>
      </w:rPr>
      <w:t>19</w:t>
    </w:r>
    <w:r>
      <w:rPr>
        <w:rStyle w:val="PageNumber"/>
      </w:rPr>
      <w:fldChar w:fldCharType="end"/>
    </w:r>
  </w:p>
  <w:p w:rsidR="00894E9A" w:rsidRPr="000E496D" w:rsidRDefault="00894E9A" w:rsidP="00B136CA">
    <w:pPr>
      <w:pStyle w:val="JuHeader"/>
      <w:ind w:right="360" w:firstLine="360"/>
    </w:pPr>
    <w:r>
      <w:tab/>
    </w:r>
    <w:r>
      <w:rPr>
        <w:noProof/>
      </w:rPr>
      <w:t xml:space="preserve">ARRÊT </w:t>
    </w:r>
    <w:r w:rsidRPr="000E496D">
      <w:t xml:space="preserve"> SAMPANI ET AUTRES c. GRÈCE</w:t>
    </w:r>
    <w:r w:rsidRPr="000E49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0E496D"/>
    <w:rsid w:val="00000A8E"/>
    <w:rsid w:val="00005476"/>
    <w:rsid w:val="000059E3"/>
    <w:rsid w:val="00006607"/>
    <w:rsid w:val="0000732D"/>
    <w:rsid w:val="0001122E"/>
    <w:rsid w:val="0001493E"/>
    <w:rsid w:val="00017B6A"/>
    <w:rsid w:val="00023684"/>
    <w:rsid w:val="000251D9"/>
    <w:rsid w:val="000304B9"/>
    <w:rsid w:val="0003067A"/>
    <w:rsid w:val="00031713"/>
    <w:rsid w:val="000341E3"/>
    <w:rsid w:val="000346B8"/>
    <w:rsid w:val="00034B42"/>
    <w:rsid w:val="00036DF3"/>
    <w:rsid w:val="000372C9"/>
    <w:rsid w:val="00042DCF"/>
    <w:rsid w:val="0004792B"/>
    <w:rsid w:val="00047E36"/>
    <w:rsid w:val="00060D71"/>
    <w:rsid w:val="00061428"/>
    <w:rsid w:val="00061B3D"/>
    <w:rsid w:val="00071429"/>
    <w:rsid w:val="00072E60"/>
    <w:rsid w:val="00076451"/>
    <w:rsid w:val="000772F6"/>
    <w:rsid w:val="000832C5"/>
    <w:rsid w:val="00085EC3"/>
    <w:rsid w:val="0009234F"/>
    <w:rsid w:val="00093432"/>
    <w:rsid w:val="00093CC4"/>
    <w:rsid w:val="0009497E"/>
    <w:rsid w:val="0009631E"/>
    <w:rsid w:val="0009688D"/>
    <w:rsid w:val="000A0240"/>
    <w:rsid w:val="000A1A95"/>
    <w:rsid w:val="000A1ADF"/>
    <w:rsid w:val="000A3D31"/>
    <w:rsid w:val="000B2C28"/>
    <w:rsid w:val="000B2EE7"/>
    <w:rsid w:val="000B3205"/>
    <w:rsid w:val="000B5D42"/>
    <w:rsid w:val="000B7194"/>
    <w:rsid w:val="000C0479"/>
    <w:rsid w:val="000C0F1B"/>
    <w:rsid w:val="000C77F3"/>
    <w:rsid w:val="000D457D"/>
    <w:rsid w:val="000D4656"/>
    <w:rsid w:val="000D4D54"/>
    <w:rsid w:val="000D6013"/>
    <w:rsid w:val="000E0B40"/>
    <w:rsid w:val="000E496D"/>
    <w:rsid w:val="000E4D02"/>
    <w:rsid w:val="000E78C7"/>
    <w:rsid w:val="000F0560"/>
    <w:rsid w:val="000F2493"/>
    <w:rsid w:val="000F300E"/>
    <w:rsid w:val="00101BAD"/>
    <w:rsid w:val="00103000"/>
    <w:rsid w:val="00106734"/>
    <w:rsid w:val="0010706A"/>
    <w:rsid w:val="001075DA"/>
    <w:rsid w:val="001163EF"/>
    <w:rsid w:val="00116432"/>
    <w:rsid w:val="00120281"/>
    <w:rsid w:val="00121B0A"/>
    <w:rsid w:val="00126687"/>
    <w:rsid w:val="0012700B"/>
    <w:rsid w:val="001307A6"/>
    <w:rsid w:val="00130E51"/>
    <w:rsid w:val="00134E67"/>
    <w:rsid w:val="001352AA"/>
    <w:rsid w:val="00142DF7"/>
    <w:rsid w:val="00147398"/>
    <w:rsid w:val="001524AA"/>
    <w:rsid w:val="001542F3"/>
    <w:rsid w:val="001559C0"/>
    <w:rsid w:val="00160A5A"/>
    <w:rsid w:val="00162C43"/>
    <w:rsid w:val="001704E1"/>
    <w:rsid w:val="00171004"/>
    <w:rsid w:val="00171D26"/>
    <w:rsid w:val="00172CD0"/>
    <w:rsid w:val="00172CF0"/>
    <w:rsid w:val="001752B0"/>
    <w:rsid w:val="0018056B"/>
    <w:rsid w:val="00180C7C"/>
    <w:rsid w:val="00180FFE"/>
    <w:rsid w:val="00183C8B"/>
    <w:rsid w:val="001847DD"/>
    <w:rsid w:val="00184E3A"/>
    <w:rsid w:val="001912EE"/>
    <w:rsid w:val="00196E64"/>
    <w:rsid w:val="001A0259"/>
    <w:rsid w:val="001A1237"/>
    <w:rsid w:val="001A1F88"/>
    <w:rsid w:val="001A2C3A"/>
    <w:rsid w:val="001A3877"/>
    <w:rsid w:val="001A7AA3"/>
    <w:rsid w:val="001C1567"/>
    <w:rsid w:val="001C1F03"/>
    <w:rsid w:val="001C2A4D"/>
    <w:rsid w:val="001C2A67"/>
    <w:rsid w:val="001C394C"/>
    <w:rsid w:val="001C3DA3"/>
    <w:rsid w:val="001D4299"/>
    <w:rsid w:val="001D63C8"/>
    <w:rsid w:val="001D6FCE"/>
    <w:rsid w:val="001E5FFC"/>
    <w:rsid w:val="001E7B85"/>
    <w:rsid w:val="001F021B"/>
    <w:rsid w:val="001F1B24"/>
    <w:rsid w:val="001F6681"/>
    <w:rsid w:val="00206499"/>
    <w:rsid w:val="00206868"/>
    <w:rsid w:val="00207248"/>
    <w:rsid w:val="00211013"/>
    <w:rsid w:val="00211F5F"/>
    <w:rsid w:val="002172DA"/>
    <w:rsid w:val="00221D16"/>
    <w:rsid w:val="00222AEA"/>
    <w:rsid w:val="00233687"/>
    <w:rsid w:val="00234137"/>
    <w:rsid w:val="00240CB2"/>
    <w:rsid w:val="0024345C"/>
    <w:rsid w:val="00245448"/>
    <w:rsid w:val="00247DD7"/>
    <w:rsid w:val="00250114"/>
    <w:rsid w:val="0025034E"/>
    <w:rsid w:val="0025268C"/>
    <w:rsid w:val="00263561"/>
    <w:rsid w:val="002638D0"/>
    <w:rsid w:val="00274199"/>
    <w:rsid w:val="00275892"/>
    <w:rsid w:val="002759FA"/>
    <w:rsid w:val="00276BEC"/>
    <w:rsid w:val="002806D3"/>
    <w:rsid w:val="00281E4D"/>
    <w:rsid w:val="002821AD"/>
    <w:rsid w:val="00284BDC"/>
    <w:rsid w:val="0028541F"/>
    <w:rsid w:val="00287191"/>
    <w:rsid w:val="002921BB"/>
    <w:rsid w:val="0029342D"/>
    <w:rsid w:val="0029723C"/>
    <w:rsid w:val="002A125D"/>
    <w:rsid w:val="002A1525"/>
    <w:rsid w:val="002A27EC"/>
    <w:rsid w:val="002A3F1A"/>
    <w:rsid w:val="002A73C3"/>
    <w:rsid w:val="002B015F"/>
    <w:rsid w:val="002C4A2D"/>
    <w:rsid w:val="002E280C"/>
    <w:rsid w:val="002F1936"/>
    <w:rsid w:val="002F1CE6"/>
    <w:rsid w:val="002F4A0B"/>
    <w:rsid w:val="003033F2"/>
    <w:rsid w:val="00303437"/>
    <w:rsid w:val="00304B0A"/>
    <w:rsid w:val="00305449"/>
    <w:rsid w:val="00311E7D"/>
    <w:rsid w:val="0031395A"/>
    <w:rsid w:val="00313A14"/>
    <w:rsid w:val="00313F90"/>
    <w:rsid w:val="003143E6"/>
    <w:rsid w:val="003223FB"/>
    <w:rsid w:val="00324D71"/>
    <w:rsid w:val="00327411"/>
    <w:rsid w:val="003306D4"/>
    <w:rsid w:val="00330C3C"/>
    <w:rsid w:val="003356E9"/>
    <w:rsid w:val="0033610E"/>
    <w:rsid w:val="00336392"/>
    <w:rsid w:val="003367B7"/>
    <w:rsid w:val="00341552"/>
    <w:rsid w:val="003442A8"/>
    <w:rsid w:val="00350960"/>
    <w:rsid w:val="00352221"/>
    <w:rsid w:val="00352E03"/>
    <w:rsid w:val="00353314"/>
    <w:rsid w:val="0035550C"/>
    <w:rsid w:val="00355679"/>
    <w:rsid w:val="003561F1"/>
    <w:rsid w:val="00356661"/>
    <w:rsid w:val="0036010E"/>
    <w:rsid w:val="00360943"/>
    <w:rsid w:val="00360C14"/>
    <w:rsid w:val="003617BF"/>
    <w:rsid w:val="00361E13"/>
    <w:rsid w:val="00362D1F"/>
    <w:rsid w:val="003638BB"/>
    <w:rsid w:val="00365F27"/>
    <w:rsid w:val="00370701"/>
    <w:rsid w:val="003713D0"/>
    <w:rsid w:val="00371494"/>
    <w:rsid w:val="0037578C"/>
    <w:rsid w:val="003758A8"/>
    <w:rsid w:val="003769D9"/>
    <w:rsid w:val="00377A40"/>
    <w:rsid w:val="00381E02"/>
    <w:rsid w:val="003835A5"/>
    <w:rsid w:val="00386AA9"/>
    <w:rsid w:val="00386B91"/>
    <w:rsid w:val="00387F24"/>
    <w:rsid w:val="003925CE"/>
    <w:rsid w:val="00394F8F"/>
    <w:rsid w:val="00397D3A"/>
    <w:rsid w:val="003A09B2"/>
    <w:rsid w:val="003B0567"/>
    <w:rsid w:val="003B2BB8"/>
    <w:rsid w:val="003B61BC"/>
    <w:rsid w:val="003B6855"/>
    <w:rsid w:val="003C04CD"/>
    <w:rsid w:val="003C6E0C"/>
    <w:rsid w:val="003C7197"/>
    <w:rsid w:val="003C7229"/>
    <w:rsid w:val="003C7F72"/>
    <w:rsid w:val="003D2870"/>
    <w:rsid w:val="003D4B6B"/>
    <w:rsid w:val="003E05D0"/>
    <w:rsid w:val="003E2D42"/>
    <w:rsid w:val="003E7FF4"/>
    <w:rsid w:val="003F0629"/>
    <w:rsid w:val="003F2FA3"/>
    <w:rsid w:val="003F32BA"/>
    <w:rsid w:val="0040106E"/>
    <w:rsid w:val="00401245"/>
    <w:rsid w:val="0040252B"/>
    <w:rsid w:val="00402F19"/>
    <w:rsid w:val="00403536"/>
    <w:rsid w:val="0040406E"/>
    <w:rsid w:val="00406BE7"/>
    <w:rsid w:val="00406DEB"/>
    <w:rsid w:val="0040708D"/>
    <w:rsid w:val="004077B5"/>
    <w:rsid w:val="004079E9"/>
    <w:rsid w:val="00407A28"/>
    <w:rsid w:val="00411316"/>
    <w:rsid w:val="00411421"/>
    <w:rsid w:val="00414FA5"/>
    <w:rsid w:val="00416B93"/>
    <w:rsid w:val="00416D48"/>
    <w:rsid w:val="00417C62"/>
    <w:rsid w:val="00421374"/>
    <w:rsid w:val="004219F0"/>
    <w:rsid w:val="004254D5"/>
    <w:rsid w:val="00425BF9"/>
    <w:rsid w:val="00425F61"/>
    <w:rsid w:val="00427B60"/>
    <w:rsid w:val="004300EC"/>
    <w:rsid w:val="00432392"/>
    <w:rsid w:val="00432B2F"/>
    <w:rsid w:val="00442FA9"/>
    <w:rsid w:val="00445E54"/>
    <w:rsid w:val="00446838"/>
    <w:rsid w:val="0044729E"/>
    <w:rsid w:val="00450F5A"/>
    <w:rsid w:val="004538C0"/>
    <w:rsid w:val="004563AF"/>
    <w:rsid w:val="004601DC"/>
    <w:rsid w:val="00461C88"/>
    <w:rsid w:val="00464187"/>
    <w:rsid w:val="00466093"/>
    <w:rsid w:val="0046778E"/>
    <w:rsid w:val="004702BA"/>
    <w:rsid w:val="0047277B"/>
    <w:rsid w:val="0047292F"/>
    <w:rsid w:val="00472DE4"/>
    <w:rsid w:val="004734A5"/>
    <w:rsid w:val="004736D2"/>
    <w:rsid w:val="00475AE5"/>
    <w:rsid w:val="00475CCC"/>
    <w:rsid w:val="00476D0D"/>
    <w:rsid w:val="004825D1"/>
    <w:rsid w:val="00483ED8"/>
    <w:rsid w:val="00486CD2"/>
    <w:rsid w:val="00491F5A"/>
    <w:rsid w:val="004930AD"/>
    <w:rsid w:val="004932DA"/>
    <w:rsid w:val="004A01A3"/>
    <w:rsid w:val="004A0774"/>
    <w:rsid w:val="004A0F1E"/>
    <w:rsid w:val="004A0F4B"/>
    <w:rsid w:val="004A30F7"/>
    <w:rsid w:val="004A3C27"/>
    <w:rsid w:val="004A4E77"/>
    <w:rsid w:val="004B0FD0"/>
    <w:rsid w:val="004B2F91"/>
    <w:rsid w:val="004B3C85"/>
    <w:rsid w:val="004B74CD"/>
    <w:rsid w:val="004C658C"/>
    <w:rsid w:val="004C691A"/>
    <w:rsid w:val="004C7DF5"/>
    <w:rsid w:val="004E1ACF"/>
    <w:rsid w:val="004E3393"/>
    <w:rsid w:val="004E519E"/>
    <w:rsid w:val="004E63CA"/>
    <w:rsid w:val="004F68A7"/>
    <w:rsid w:val="00503B91"/>
    <w:rsid w:val="00506771"/>
    <w:rsid w:val="00506B02"/>
    <w:rsid w:val="00507151"/>
    <w:rsid w:val="005106E2"/>
    <w:rsid w:val="00525CBC"/>
    <w:rsid w:val="0052605E"/>
    <w:rsid w:val="005305B0"/>
    <w:rsid w:val="005319B5"/>
    <w:rsid w:val="005333F8"/>
    <w:rsid w:val="00534C55"/>
    <w:rsid w:val="0053642D"/>
    <w:rsid w:val="005364CE"/>
    <w:rsid w:val="00543F79"/>
    <w:rsid w:val="005448A6"/>
    <w:rsid w:val="00547237"/>
    <w:rsid w:val="005509B0"/>
    <w:rsid w:val="00551C81"/>
    <w:rsid w:val="00553E28"/>
    <w:rsid w:val="00560B55"/>
    <w:rsid w:val="00561139"/>
    <w:rsid w:val="00561AFB"/>
    <w:rsid w:val="005628AF"/>
    <w:rsid w:val="00563275"/>
    <w:rsid w:val="0057103A"/>
    <w:rsid w:val="005737E4"/>
    <w:rsid w:val="005740C2"/>
    <w:rsid w:val="0057701E"/>
    <w:rsid w:val="00577670"/>
    <w:rsid w:val="00577803"/>
    <w:rsid w:val="0058543F"/>
    <w:rsid w:val="00587BE5"/>
    <w:rsid w:val="005A1107"/>
    <w:rsid w:val="005A22EE"/>
    <w:rsid w:val="005B2F87"/>
    <w:rsid w:val="005B51DE"/>
    <w:rsid w:val="005B7AAF"/>
    <w:rsid w:val="005C7469"/>
    <w:rsid w:val="005D01C6"/>
    <w:rsid w:val="005D4D66"/>
    <w:rsid w:val="005E4AD7"/>
    <w:rsid w:val="005E4C4C"/>
    <w:rsid w:val="005E4E0B"/>
    <w:rsid w:val="005F13F4"/>
    <w:rsid w:val="005F53A7"/>
    <w:rsid w:val="005F58D9"/>
    <w:rsid w:val="00601E70"/>
    <w:rsid w:val="0060257D"/>
    <w:rsid w:val="00607931"/>
    <w:rsid w:val="0061049D"/>
    <w:rsid w:val="00612301"/>
    <w:rsid w:val="00612896"/>
    <w:rsid w:val="00617A32"/>
    <w:rsid w:val="00620817"/>
    <w:rsid w:val="006208CF"/>
    <w:rsid w:val="00621479"/>
    <w:rsid w:val="00621B9D"/>
    <w:rsid w:val="00626255"/>
    <w:rsid w:val="00627072"/>
    <w:rsid w:val="00632E83"/>
    <w:rsid w:val="0063372D"/>
    <w:rsid w:val="00636FB6"/>
    <w:rsid w:val="0064438C"/>
    <w:rsid w:val="00644758"/>
    <w:rsid w:val="00645DEB"/>
    <w:rsid w:val="0065100D"/>
    <w:rsid w:val="00662B64"/>
    <w:rsid w:val="00666BF6"/>
    <w:rsid w:val="006716C1"/>
    <w:rsid w:val="00674F6C"/>
    <w:rsid w:val="0068104D"/>
    <w:rsid w:val="00681D58"/>
    <w:rsid w:val="006936B5"/>
    <w:rsid w:val="00693E39"/>
    <w:rsid w:val="00694301"/>
    <w:rsid w:val="0069452A"/>
    <w:rsid w:val="00694875"/>
    <w:rsid w:val="00694DCE"/>
    <w:rsid w:val="00696916"/>
    <w:rsid w:val="0069719D"/>
    <w:rsid w:val="006975E5"/>
    <w:rsid w:val="006A0F1E"/>
    <w:rsid w:val="006A1F0E"/>
    <w:rsid w:val="006A5686"/>
    <w:rsid w:val="006B0ADC"/>
    <w:rsid w:val="006B1877"/>
    <w:rsid w:val="006B18E2"/>
    <w:rsid w:val="006B195F"/>
    <w:rsid w:val="006B1C83"/>
    <w:rsid w:val="006B3663"/>
    <w:rsid w:val="006B5A3C"/>
    <w:rsid w:val="006C1AD8"/>
    <w:rsid w:val="006C2FE9"/>
    <w:rsid w:val="006C497C"/>
    <w:rsid w:val="006C4A4B"/>
    <w:rsid w:val="006D685E"/>
    <w:rsid w:val="006E30BD"/>
    <w:rsid w:val="006E3C39"/>
    <w:rsid w:val="006E3E75"/>
    <w:rsid w:val="006E62E6"/>
    <w:rsid w:val="006E6A67"/>
    <w:rsid w:val="006F005A"/>
    <w:rsid w:val="006F322D"/>
    <w:rsid w:val="006F3415"/>
    <w:rsid w:val="006F5736"/>
    <w:rsid w:val="007026A3"/>
    <w:rsid w:val="007028E0"/>
    <w:rsid w:val="00706D2C"/>
    <w:rsid w:val="0070722F"/>
    <w:rsid w:val="00707A84"/>
    <w:rsid w:val="00710681"/>
    <w:rsid w:val="007113FC"/>
    <w:rsid w:val="007130BF"/>
    <w:rsid w:val="00714D27"/>
    <w:rsid w:val="0071537A"/>
    <w:rsid w:val="00717C52"/>
    <w:rsid w:val="00717C9C"/>
    <w:rsid w:val="00720AF8"/>
    <w:rsid w:val="00727A64"/>
    <w:rsid w:val="00733819"/>
    <w:rsid w:val="00733B9A"/>
    <w:rsid w:val="007357D0"/>
    <w:rsid w:val="0073693F"/>
    <w:rsid w:val="00744BB7"/>
    <w:rsid w:val="00751CA7"/>
    <w:rsid w:val="00752D87"/>
    <w:rsid w:val="00753E5F"/>
    <w:rsid w:val="00755392"/>
    <w:rsid w:val="00772280"/>
    <w:rsid w:val="0077322C"/>
    <w:rsid w:val="00780F3B"/>
    <w:rsid w:val="00781B87"/>
    <w:rsid w:val="007838F3"/>
    <w:rsid w:val="007864C4"/>
    <w:rsid w:val="00790C2C"/>
    <w:rsid w:val="00795176"/>
    <w:rsid w:val="007951F3"/>
    <w:rsid w:val="00797EA4"/>
    <w:rsid w:val="007A087B"/>
    <w:rsid w:val="007A1711"/>
    <w:rsid w:val="007A17DF"/>
    <w:rsid w:val="007A181F"/>
    <w:rsid w:val="007A4C9A"/>
    <w:rsid w:val="007A52A8"/>
    <w:rsid w:val="007C14E6"/>
    <w:rsid w:val="007C1EF3"/>
    <w:rsid w:val="007C3556"/>
    <w:rsid w:val="007C3A1E"/>
    <w:rsid w:val="007D5A77"/>
    <w:rsid w:val="007D7F7A"/>
    <w:rsid w:val="007E1676"/>
    <w:rsid w:val="007E19BF"/>
    <w:rsid w:val="007E3337"/>
    <w:rsid w:val="007E37A9"/>
    <w:rsid w:val="007E3C3B"/>
    <w:rsid w:val="007E5003"/>
    <w:rsid w:val="007E5D5C"/>
    <w:rsid w:val="007E6887"/>
    <w:rsid w:val="007E71EE"/>
    <w:rsid w:val="007F3906"/>
    <w:rsid w:val="007F4A0F"/>
    <w:rsid w:val="007F6A42"/>
    <w:rsid w:val="00801221"/>
    <w:rsid w:val="00806911"/>
    <w:rsid w:val="00810868"/>
    <w:rsid w:val="00810883"/>
    <w:rsid w:val="00810FA4"/>
    <w:rsid w:val="00815E81"/>
    <w:rsid w:val="0081770C"/>
    <w:rsid w:val="0082390B"/>
    <w:rsid w:val="00825DDF"/>
    <w:rsid w:val="00830036"/>
    <w:rsid w:val="008304F0"/>
    <w:rsid w:val="00833822"/>
    <w:rsid w:val="0084755E"/>
    <w:rsid w:val="0085157E"/>
    <w:rsid w:val="0085783B"/>
    <w:rsid w:val="008629B8"/>
    <w:rsid w:val="00865117"/>
    <w:rsid w:val="00867839"/>
    <w:rsid w:val="00867E82"/>
    <w:rsid w:val="008726F4"/>
    <w:rsid w:val="00880EF6"/>
    <w:rsid w:val="00884085"/>
    <w:rsid w:val="0088729A"/>
    <w:rsid w:val="00891DD6"/>
    <w:rsid w:val="008924CE"/>
    <w:rsid w:val="00894E9A"/>
    <w:rsid w:val="008A0122"/>
    <w:rsid w:val="008A74CE"/>
    <w:rsid w:val="008B3AB5"/>
    <w:rsid w:val="008B458A"/>
    <w:rsid w:val="008B76C7"/>
    <w:rsid w:val="008B77E7"/>
    <w:rsid w:val="008C6E3C"/>
    <w:rsid w:val="008C7FEF"/>
    <w:rsid w:val="008D00E6"/>
    <w:rsid w:val="008D61D1"/>
    <w:rsid w:val="008E4ABF"/>
    <w:rsid w:val="008E7E86"/>
    <w:rsid w:val="008F0559"/>
    <w:rsid w:val="008F1891"/>
    <w:rsid w:val="008F1D67"/>
    <w:rsid w:val="008F39FB"/>
    <w:rsid w:val="008F7F80"/>
    <w:rsid w:val="00900F2F"/>
    <w:rsid w:val="00901078"/>
    <w:rsid w:val="0090220E"/>
    <w:rsid w:val="0090368C"/>
    <w:rsid w:val="00904E4D"/>
    <w:rsid w:val="00904F8D"/>
    <w:rsid w:val="0090773E"/>
    <w:rsid w:val="0091146F"/>
    <w:rsid w:val="00911B68"/>
    <w:rsid w:val="00913BA1"/>
    <w:rsid w:val="00916F6E"/>
    <w:rsid w:val="009202F2"/>
    <w:rsid w:val="0092156A"/>
    <w:rsid w:val="00922F45"/>
    <w:rsid w:val="009260DF"/>
    <w:rsid w:val="0092771C"/>
    <w:rsid w:val="00927B8A"/>
    <w:rsid w:val="00930694"/>
    <w:rsid w:val="00932A23"/>
    <w:rsid w:val="00934E38"/>
    <w:rsid w:val="00935FBB"/>
    <w:rsid w:val="00936877"/>
    <w:rsid w:val="00942EF5"/>
    <w:rsid w:val="00950ADE"/>
    <w:rsid w:val="00950D0E"/>
    <w:rsid w:val="00952BF7"/>
    <w:rsid w:val="00956293"/>
    <w:rsid w:val="00956C5C"/>
    <w:rsid w:val="00957FC2"/>
    <w:rsid w:val="009616BB"/>
    <w:rsid w:val="00961FD6"/>
    <w:rsid w:val="00962D4D"/>
    <w:rsid w:val="00963B7A"/>
    <w:rsid w:val="00964A64"/>
    <w:rsid w:val="00967875"/>
    <w:rsid w:val="00970717"/>
    <w:rsid w:val="00973415"/>
    <w:rsid w:val="00973C75"/>
    <w:rsid w:val="00973DD0"/>
    <w:rsid w:val="00974BB5"/>
    <w:rsid w:val="00976AC8"/>
    <w:rsid w:val="0098040D"/>
    <w:rsid w:val="00980BEB"/>
    <w:rsid w:val="00981A85"/>
    <w:rsid w:val="00981F73"/>
    <w:rsid w:val="009823C5"/>
    <w:rsid w:val="009849E9"/>
    <w:rsid w:val="00991EBF"/>
    <w:rsid w:val="00992002"/>
    <w:rsid w:val="00995968"/>
    <w:rsid w:val="00995EDB"/>
    <w:rsid w:val="009A0361"/>
    <w:rsid w:val="009A0A09"/>
    <w:rsid w:val="009A1F1A"/>
    <w:rsid w:val="009A3E8A"/>
    <w:rsid w:val="009A4473"/>
    <w:rsid w:val="009A4607"/>
    <w:rsid w:val="009A5ED9"/>
    <w:rsid w:val="009A7A92"/>
    <w:rsid w:val="009B3D6C"/>
    <w:rsid w:val="009B4B9D"/>
    <w:rsid w:val="009C1366"/>
    <w:rsid w:val="009C361B"/>
    <w:rsid w:val="009C5770"/>
    <w:rsid w:val="009D1C35"/>
    <w:rsid w:val="009D29DE"/>
    <w:rsid w:val="009D302D"/>
    <w:rsid w:val="009D4EC9"/>
    <w:rsid w:val="009D6DA7"/>
    <w:rsid w:val="009E1346"/>
    <w:rsid w:val="009E2930"/>
    <w:rsid w:val="009E355F"/>
    <w:rsid w:val="009E4971"/>
    <w:rsid w:val="009F3242"/>
    <w:rsid w:val="009F4116"/>
    <w:rsid w:val="009F6A33"/>
    <w:rsid w:val="009F7286"/>
    <w:rsid w:val="00A1080F"/>
    <w:rsid w:val="00A11FEE"/>
    <w:rsid w:val="00A13517"/>
    <w:rsid w:val="00A15D39"/>
    <w:rsid w:val="00A2086A"/>
    <w:rsid w:val="00A211C8"/>
    <w:rsid w:val="00A2488C"/>
    <w:rsid w:val="00A25801"/>
    <w:rsid w:val="00A25FA6"/>
    <w:rsid w:val="00A31E11"/>
    <w:rsid w:val="00A3439E"/>
    <w:rsid w:val="00A3661F"/>
    <w:rsid w:val="00A404E8"/>
    <w:rsid w:val="00A4620C"/>
    <w:rsid w:val="00A46BA1"/>
    <w:rsid w:val="00A52634"/>
    <w:rsid w:val="00A52663"/>
    <w:rsid w:val="00A53F42"/>
    <w:rsid w:val="00A54956"/>
    <w:rsid w:val="00A64796"/>
    <w:rsid w:val="00A668C2"/>
    <w:rsid w:val="00A7007C"/>
    <w:rsid w:val="00A7272D"/>
    <w:rsid w:val="00A73C8C"/>
    <w:rsid w:val="00A75A3F"/>
    <w:rsid w:val="00A77283"/>
    <w:rsid w:val="00A77361"/>
    <w:rsid w:val="00A77DDC"/>
    <w:rsid w:val="00A80522"/>
    <w:rsid w:val="00A82E6D"/>
    <w:rsid w:val="00A84C8A"/>
    <w:rsid w:val="00A92E1F"/>
    <w:rsid w:val="00A93ADD"/>
    <w:rsid w:val="00A93D51"/>
    <w:rsid w:val="00A93E17"/>
    <w:rsid w:val="00A96DB0"/>
    <w:rsid w:val="00A9768C"/>
    <w:rsid w:val="00A97C83"/>
    <w:rsid w:val="00AA241B"/>
    <w:rsid w:val="00AA3CC6"/>
    <w:rsid w:val="00AA7FB5"/>
    <w:rsid w:val="00AC15ED"/>
    <w:rsid w:val="00AC2984"/>
    <w:rsid w:val="00AC38FE"/>
    <w:rsid w:val="00AC3B4B"/>
    <w:rsid w:val="00AC41B1"/>
    <w:rsid w:val="00AC5425"/>
    <w:rsid w:val="00AC6A5F"/>
    <w:rsid w:val="00AC7F03"/>
    <w:rsid w:val="00AD25BB"/>
    <w:rsid w:val="00AD3301"/>
    <w:rsid w:val="00AD340B"/>
    <w:rsid w:val="00AD524E"/>
    <w:rsid w:val="00AD708C"/>
    <w:rsid w:val="00AD71DC"/>
    <w:rsid w:val="00AF06F1"/>
    <w:rsid w:val="00AF3570"/>
    <w:rsid w:val="00B043F6"/>
    <w:rsid w:val="00B04694"/>
    <w:rsid w:val="00B0478E"/>
    <w:rsid w:val="00B11620"/>
    <w:rsid w:val="00B136CA"/>
    <w:rsid w:val="00B16859"/>
    <w:rsid w:val="00B20588"/>
    <w:rsid w:val="00B24DE1"/>
    <w:rsid w:val="00B275A1"/>
    <w:rsid w:val="00B32661"/>
    <w:rsid w:val="00B33C50"/>
    <w:rsid w:val="00B35C13"/>
    <w:rsid w:val="00B372BB"/>
    <w:rsid w:val="00B40073"/>
    <w:rsid w:val="00B43FE4"/>
    <w:rsid w:val="00B4617B"/>
    <w:rsid w:val="00B47FDF"/>
    <w:rsid w:val="00B52E38"/>
    <w:rsid w:val="00B54CB3"/>
    <w:rsid w:val="00B558AE"/>
    <w:rsid w:val="00B55D83"/>
    <w:rsid w:val="00B61CF6"/>
    <w:rsid w:val="00B62D7C"/>
    <w:rsid w:val="00B63FA1"/>
    <w:rsid w:val="00B65132"/>
    <w:rsid w:val="00B66476"/>
    <w:rsid w:val="00B667E4"/>
    <w:rsid w:val="00B72512"/>
    <w:rsid w:val="00B80345"/>
    <w:rsid w:val="00B85421"/>
    <w:rsid w:val="00B877D7"/>
    <w:rsid w:val="00B94C6E"/>
    <w:rsid w:val="00B97093"/>
    <w:rsid w:val="00B97E47"/>
    <w:rsid w:val="00BA400C"/>
    <w:rsid w:val="00BA4446"/>
    <w:rsid w:val="00BA640F"/>
    <w:rsid w:val="00BB72E4"/>
    <w:rsid w:val="00BC0C3C"/>
    <w:rsid w:val="00BC2440"/>
    <w:rsid w:val="00BC2AB9"/>
    <w:rsid w:val="00BC3A4B"/>
    <w:rsid w:val="00BC537D"/>
    <w:rsid w:val="00BC7EF7"/>
    <w:rsid w:val="00BD0E51"/>
    <w:rsid w:val="00BD201A"/>
    <w:rsid w:val="00BD64F0"/>
    <w:rsid w:val="00BD670D"/>
    <w:rsid w:val="00BD6DB6"/>
    <w:rsid w:val="00BD71A8"/>
    <w:rsid w:val="00BF2862"/>
    <w:rsid w:val="00BF3036"/>
    <w:rsid w:val="00BF3365"/>
    <w:rsid w:val="00BF439A"/>
    <w:rsid w:val="00BF4890"/>
    <w:rsid w:val="00BF7990"/>
    <w:rsid w:val="00C00A8E"/>
    <w:rsid w:val="00C07F44"/>
    <w:rsid w:val="00C147C9"/>
    <w:rsid w:val="00C2729E"/>
    <w:rsid w:val="00C36C7A"/>
    <w:rsid w:val="00C36FE1"/>
    <w:rsid w:val="00C40B90"/>
    <w:rsid w:val="00C419B2"/>
    <w:rsid w:val="00C42627"/>
    <w:rsid w:val="00C4415C"/>
    <w:rsid w:val="00C4639C"/>
    <w:rsid w:val="00C51FAF"/>
    <w:rsid w:val="00C520DB"/>
    <w:rsid w:val="00C52DD4"/>
    <w:rsid w:val="00C52E09"/>
    <w:rsid w:val="00C552FE"/>
    <w:rsid w:val="00C56B5A"/>
    <w:rsid w:val="00C56BA1"/>
    <w:rsid w:val="00C633F8"/>
    <w:rsid w:val="00C64707"/>
    <w:rsid w:val="00C65F70"/>
    <w:rsid w:val="00C66B06"/>
    <w:rsid w:val="00C673FA"/>
    <w:rsid w:val="00C85451"/>
    <w:rsid w:val="00C85C73"/>
    <w:rsid w:val="00C86DC9"/>
    <w:rsid w:val="00C9635F"/>
    <w:rsid w:val="00CA1797"/>
    <w:rsid w:val="00CA1F58"/>
    <w:rsid w:val="00CA6009"/>
    <w:rsid w:val="00CA61EA"/>
    <w:rsid w:val="00CA620A"/>
    <w:rsid w:val="00CA6977"/>
    <w:rsid w:val="00CB0DAA"/>
    <w:rsid w:val="00CB1143"/>
    <w:rsid w:val="00CB4956"/>
    <w:rsid w:val="00CB4C0C"/>
    <w:rsid w:val="00CB71D8"/>
    <w:rsid w:val="00CB7DFD"/>
    <w:rsid w:val="00CC1204"/>
    <w:rsid w:val="00CC30BB"/>
    <w:rsid w:val="00CC3299"/>
    <w:rsid w:val="00CD070B"/>
    <w:rsid w:val="00CD28BB"/>
    <w:rsid w:val="00CD7077"/>
    <w:rsid w:val="00CD74B2"/>
    <w:rsid w:val="00CD7A03"/>
    <w:rsid w:val="00CE3B45"/>
    <w:rsid w:val="00CE3E62"/>
    <w:rsid w:val="00CF0511"/>
    <w:rsid w:val="00CF3705"/>
    <w:rsid w:val="00CF405D"/>
    <w:rsid w:val="00CF65BE"/>
    <w:rsid w:val="00D000F2"/>
    <w:rsid w:val="00D01290"/>
    <w:rsid w:val="00D014F4"/>
    <w:rsid w:val="00D032FF"/>
    <w:rsid w:val="00D036D8"/>
    <w:rsid w:val="00D03925"/>
    <w:rsid w:val="00D052B8"/>
    <w:rsid w:val="00D07F80"/>
    <w:rsid w:val="00D142CB"/>
    <w:rsid w:val="00D1699F"/>
    <w:rsid w:val="00D2173F"/>
    <w:rsid w:val="00D229F5"/>
    <w:rsid w:val="00D249BB"/>
    <w:rsid w:val="00D26009"/>
    <w:rsid w:val="00D31210"/>
    <w:rsid w:val="00D32DFB"/>
    <w:rsid w:val="00D368A4"/>
    <w:rsid w:val="00D40043"/>
    <w:rsid w:val="00D42250"/>
    <w:rsid w:val="00D44F2E"/>
    <w:rsid w:val="00D478FC"/>
    <w:rsid w:val="00D53047"/>
    <w:rsid w:val="00D53F60"/>
    <w:rsid w:val="00D546E1"/>
    <w:rsid w:val="00D54F7C"/>
    <w:rsid w:val="00D567C6"/>
    <w:rsid w:val="00D603FB"/>
    <w:rsid w:val="00D644E6"/>
    <w:rsid w:val="00D64C07"/>
    <w:rsid w:val="00D655CC"/>
    <w:rsid w:val="00D65AB3"/>
    <w:rsid w:val="00D729A6"/>
    <w:rsid w:val="00D7481B"/>
    <w:rsid w:val="00D74D0A"/>
    <w:rsid w:val="00D75858"/>
    <w:rsid w:val="00D82CF0"/>
    <w:rsid w:val="00D82FA8"/>
    <w:rsid w:val="00D84C5D"/>
    <w:rsid w:val="00D86E1B"/>
    <w:rsid w:val="00D9179E"/>
    <w:rsid w:val="00D93DF1"/>
    <w:rsid w:val="00D942E7"/>
    <w:rsid w:val="00D96DBC"/>
    <w:rsid w:val="00DA6922"/>
    <w:rsid w:val="00DA6A26"/>
    <w:rsid w:val="00DB121D"/>
    <w:rsid w:val="00DB2473"/>
    <w:rsid w:val="00DB37CB"/>
    <w:rsid w:val="00DB559E"/>
    <w:rsid w:val="00DB694B"/>
    <w:rsid w:val="00DB7CCD"/>
    <w:rsid w:val="00DC098C"/>
    <w:rsid w:val="00DC1AF9"/>
    <w:rsid w:val="00DC294A"/>
    <w:rsid w:val="00DC4EFF"/>
    <w:rsid w:val="00DC7E95"/>
    <w:rsid w:val="00DD2829"/>
    <w:rsid w:val="00DD3733"/>
    <w:rsid w:val="00DD5A35"/>
    <w:rsid w:val="00DD6052"/>
    <w:rsid w:val="00DD68E4"/>
    <w:rsid w:val="00DD6B07"/>
    <w:rsid w:val="00DE126A"/>
    <w:rsid w:val="00DE381C"/>
    <w:rsid w:val="00DE593D"/>
    <w:rsid w:val="00DF141C"/>
    <w:rsid w:val="00DF180E"/>
    <w:rsid w:val="00DF3BEB"/>
    <w:rsid w:val="00DF4D04"/>
    <w:rsid w:val="00DF6AD5"/>
    <w:rsid w:val="00E03658"/>
    <w:rsid w:val="00E03CF8"/>
    <w:rsid w:val="00E107CC"/>
    <w:rsid w:val="00E1310D"/>
    <w:rsid w:val="00E168C6"/>
    <w:rsid w:val="00E168EF"/>
    <w:rsid w:val="00E17BFF"/>
    <w:rsid w:val="00E25040"/>
    <w:rsid w:val="00E275FA"/>
    <w:rsid w:val="00E27B15"/>
    <w:rsid w:val="00E33380"/>
    <w:rsid w:val="00E33D12"/>
    <w:rsid w:val="00E400F9"/>
    <w:rsid w:val="00E40851"/>
    <w:rsid w:val="00E42652"/>
    <w:rsid w:val="00E4314A"/>
    <w:rsid w:val="00E440A8"/>
    <w:rsid w:val="00E46D82"/>
    <w:rsid w:val="00E4714B"/>
    <w:rsid w:val="00E476A1"/>
    <w:rsid w:val="00E506AC"/>
    <w:rsid w:val="00E5225E"/>
    <w:rsid w:val="00E5354A"/>
    <w:rsid w:val="00E542B5"/>
    <w:rsid w:val="00E545D2"/>
    <w:rsid w:val="00E555B3"/>
    <w:rsid w:val="00E56832"/>
    <w:rsid w:val="00E576F4"/>
    <w:rsid w:val="00E60D16"/>
    <w:rsid w:val="00E62EFF"/>
    <w:rsid w:val="00E63922"/>
    <w:rsid w:val="00E65F1B"/>
    <w:rsid w:val="00E728AA"/>
    <w:rsid w:val="00E75D90"/>
    <w:rsid w:val="00E76130"/>
    <w:rsid w:val="00E77715"/>
    <w:rsid w:val="00E85D90"/>
    <w:rsid w:val="00E8773E"/>
    <w:rsid w:val="00E91232"/>
    <w:rsid w:val="00E953FC"/>
    <w:rsid w:val="00E9615C"/>
    <w:rsid w:val="00EA0D7B"/>
    <w:rsid w:val="00EA2A9C"/>
    <w:rsid w:val="00EA2DDC"/>
    <w:rsid w:val="00EA53F0"/>
    <w:rsid w:val="00EA7B45"/>
    <w:rsid w:val="00EB1F0F"/>
    <w:rsid w:val="00EB6634"/>
    <w:rsid w:val="00EC1BF5"/>
    <w:rsid w:val="00EC4B91"/>
    <w:rsid w:val="00EC5EE4"/>
    <w:rsid w:val="00EC6427"/>
    <w:rsid w:val="00EC731D"/>
    <w:rsid w:val="00ED22C8"/>
    <w:rsid w:val="00ED289B"/>
    <w:rsid w:val="00ED2A38"/>
    <w:rsid w:val="00ED5573"/>
    <w:rsid w:val="00ED565D"/>
    <w:rsid w:val="00EE0C71"/>
    <w:rsid w:val="00EE1D67"/>
    <w:rsid w:val="00EE2322"/>
    <w:rsid w:val="00EE40D1"/>
    <w:rsid w:val="00EE68DF"/>
    <w:rsid w:val="00EE7888"/>
    <w:rsid w:val="00EF16EB"/>
    <w:rsid w:val="00F0297B"/>
    <w:rsid w:val="00F053AF"/>
    <w:rsid w:val="00F06B4D"/>
    <w:rsid w:val="00F102EA"/>
    <w:rsid w:val="00F114D1"/>
    <w:rsid w:val="00F117A6"/>
    <w:rsid w:val="00F204B3"/>
    <w:rsid w:val="00F23152"/>
    <w:rsid w:val="00F23FA8"/>
    <w:rsid w:val="00F30B10"/>
    <w:rsid w:val="00F34451"/>
    <w:rsid w:val="00F35192"/>
    <w:rsid w:val="00F3565C"/>
    <w:rsid w:val="00F41221"/>
    <w:rsid w:val="00F42E2B"/>
    <w:rsid w:val="00F43259"/>
    <w:rsid w:val="00F434CA"/>
    <w:rsid w:val="00F45984"/>
    <w:rsid w:val="00F46320"/>
    <w:rsid w:val="00F5038B"/>
    <w:rsid w:val="00F51203"/>
    <w:rsid w:val="00F52EA7"/>
    <w:rsid w:val="00F54014"/>
    <w:rsid w:val="00F56FC5"/>
    <w:rsid w:val="00F63583"/>
    <w:rsid w:val="00F6691E"/>
    <w:rsid w:val="00F673E5"/>
    <w:rsid w:val="00F70910"/>
    <w:rsid w:val="00F739AC"/>
    <w:rsid w:val="00F74102"/>
    <w:rsid w:val="00F82AA0"/>
    <w:rsid w:val="00F83363"/>
    <w:rsid w:val="00F847C4"/>
    <w:rsid w:val="00F8793E"/>
    <w:rsid w:val="00F91373"/>
    <w:rsid w:val="00F92578"/>
    <w:rsid w:val="00F926E0"/>
    <w:rsid w:val="00FA0CA5"/>
    <w:rsid w:val="00FA3AB4"/>
    <w:rsid w:val="00FA3E2B"/>
    <w:rsid w:val="00FA43CA"/>
    <w:rsid w:val="00FA4460"/>
    <w:rsid w:val="00FA471C"/>
    <w:rsid w:val="00FB3EE2"/>
    <w:rsid w:val="00FB654D"/>
    <w:rsid w:val="00FC5B34"/>
    <w:rsid w:val="00FC613E"/>
    <w:rsid w:val="00FC61DD"/>
    <w:rsid w:val="00FD69B6"/>
    <w:rsid w:val="00FF0078"/>
    <w:rsid w:val="00FF02CE"/>
    <w:rsid w:val="00FF096D"/>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rsid w:val="009A4473"/>
    <w:rPr>
      <w:sz w:val="24"/>
      <w:lang w:val="fr-FR" w:eastAsia="fr-FR" w:bidi="ar-SA"/>
    </w:rPr>
  </w:style>
  <w:style w:type="paragraph" w:customStyle="1" w:styleId="s6e50bd9a">
    <w:name w:val="s6e50bd9a"/>
    <w:basedOn w:val="Normal"/>
    <w:rsid w:val="00B40073"/>
    <w:pPr>
      <w:suppressAutoHyphens w:val="0"/>
      <w:spacing w:before="100" w:beforeAutospacing="1" w:after="100" w:afterAutospacing="1"/>
    </w:pPr>
    <w:rPr>
      <w:szCs w:val="24"/>
      <w:lang w:val="en-GB" w:eastAsia="en-GB"/>
    </w:rPr>
  </w:style>
  <w:style w:type="character" w:customStyle="1" w:styleId="sb8d990e2">
    <w:name w:val="sb8d990e2"/>
    <w:basedOn w:val="DefaultParagraphFont"/>
    <w:rsid w:val="00B40073"/>
  </w:style>
  <w:style w:type="character" w:customStyle="1" w:styleId="sea881cdf">
    <w:name w:val="sea881cdf"/>
    <w:basedOn w:val="DefaultParagraphFont"/>
    <w:rsid w:val="00B40073"/>
  </w:style>
  <w:style w:type="paragraph" w:customStyle="1" w:styleId="s683434d8">
    <w:name w:val="s683434d8"/>
    <w:basedOn w:val="Normal"/>
    <w:rsid w:val="00B40073"/>
    <w:pPr>
      <w:suppressAutoHyphens w:val="0"/>
      <w:spacing w:before="100" w:beforeAutospacing="1" w:after="100" w:afterAutospacing="1"/>
    </w:pPr>
    <w:rPr>
      <w:szCs w:val="24"/>
      <w:lang w:val="en-GB" w:eastAsia="en-GB"/>
    </w:rPr>
  </w:style>
  <w:style w:type="paragraph" w:customStyle="1" w:styleId="sfb943b7b">
    <w:name w:val="sfb943b7b"/>
    <w:basedOn w:val="Normal"/>
    <w:rsid w:val="00B40073"/>
    <w:pPr>
      <w:suppressAutoHyphens w:val="0"/>
      <w:spacing w:before="100" w:beforeAutospacing="1" w:after="100" w:afterAutospacing="1"/>
    </w:pPr>
    <w:rPr>
      <w:szCs w:val="24"/>
      <w:lang w:val="en-GB" w:eastAsia="en-GB"/>
    </w:rPr>
  </w:style>
  <w:style w:type="character" w:customStyle="1" w:styleId="s6b621b36">
    <w:name w:val="s6b621b36"/>
    <w:basedOn w:val="DefaultParagraphFont"/>
    <w:rsid w:val="00B40073"/>
  </w:style>
  <w:style w:type="character" w:customStyle="1" w:styleId="wordhighlighted">
    <w:name w:val="wordhighlighted"/>
    <w:basedOn w:val="DefaultParagraphFont"/>
    <w:rsid w:val="00B40073"/>
  </w:style>
  <w:style w:type="paragraph" w:customStyle="1" w:styleId="s8bf54363">
    <w:name w:val="s8bf54363"/>
    <w:basedOn w:val="Normal"/>
    <w:rsid w:val="00B40073"/>
    <w:pPr>
      <w:suppressAutoHyphens w:val="0"/>
      <w:spacing w:before="100" w:beforeAutospacing="1" w:after="100" w:afterAutospacing="1"/>
    </w:pPr>
    <w:rPr>
      <w:szCs w:val="24"/>
      <w:lang w:val="en-GB" w:eastAsia="en-GB"/>
    </w:rPr>
  </w:style>
  <w:style w:type="paragraph" w:customStyle="1" w:styleId="s32b251d">
    <w:name w:val="s32b251d"/>
    <w:basedOn w:val="Normal"/>
    <w:rsid w:val="00B40073"/>
    <w:pPr>
      <w:suppressAutoHyphens w:val="0"/>
      <w:spacing w:before="100" w:beforeAutospacing="1" w:after="100" w:afterAutospacing="1"/>
    </w:pPr>
    <w:rPr>
      <w:szCs w:val="24"/>
      <w:lang w:val="en-GB" w:eastAsia="en-GB"/>
    </w:rPr>
  </w:style>
  <w:style w:type="character" w:customStyle="1" w:styleId="s7d2086b4">
    <w:name w:val="s7d2086b4"/>
    <w:basedOn w:val="DefaultParagraphFont"/>
    <w:rsid w:val="00B40073"/>
  </w:style>
  <w:style w:type="paragraph" w:customStyle="1" w:styleId="s746c8714">
    <w:name w:val="s746c8714"/>
    <w:basedOn w:val="Normal"/>
    <w:rsid w:val="00B40073"/>
    <w:pPr>
      <w:suppressAutoHyphens w:val="0"/>
      <w:spacing w:before="100" w:beforeAutospacing="1" w:after="100" w:afterAutospacing="1"/>
    </w:pPr>
    <w:rPr>
      <w:szCs w:val="24"/>
      <w:lang w:val="en-GB" w:eastAsia="en-GB"/>
    </w:rPr>
  </w:style>
  <w:style w:type="paragraph" w:customStyle="1" w:styleId="safc256d0">
    <w:name w:val="safc256d0"/>
    <w:basedOn w:val="Normal"/>
    <w:rsid w:val="00B40073"/>
    <w:pPr>
      <w:suppressAutoHyphens w:val="0"/>
      <w:spacing w:before="100" w:beforeAutospacing="1" w:after="100" w:afterAutospacing="1"/>
    </w:pPr>
    <w:rPr>
      <w:szCs w:val="24"/>
      <w:lang w:val="en-GB" w:eastAsia="en-GB"/>
    </w:rPr>
  </w:style>
  <w:style w:type="character" w:customStyle="1" w:styleId="s1da1f149">
    <w:name w:val="s1da1f149"/>
    <w:basedOn w:val="DefaultParagraphFont"/>
    <w:rsid w:val="00B40073"/>
  </w:style>
  <w:style w:type="paragraph" w:customStyle="1" w:styleId="s36bd6e8">
    <w:name w:val="s36bd6e8"/>
    <w:basedOn w:val="Normal"/>
    <w:rsid w:val="00B40073"/>
    <w:pPr>
      <w:suppressAutoHyphens w:val="0"/>
      <w:spacing w:before="100" w:beforeAutospacing="1" w:after="100" w:afterAutospacing="1"/>
    </w:pPr>
    <w:rPr>
      <w:szCs w:val="24"/>
      <w:lang w:val="en-GB" w:eastAsia="en-GB"/>
    </w:rPr>
  </w:style>
  <w:style w:type="character" w:customStyle="1" w:styleId="s23c0e8e7">
    <w:name w:val="s23c0e8e7"/>
    <w:basedOn w:val="DefaultParagraphFont"/>
    <w:rsid w:val="00B40073"/>
  </w:style>
  <w:style w:type="character" w:customStyle="1" w:styleId="sc099204e">
    <w:name w:val="sc099204e"/>
    <w:basedOn w:val="DefaultParagraphFont"/>
    <w:rsid w:val="00B40073"/>
  </w:style>
  <w:style w:type="paragraph" w:customStyle="1" w:styleId="s670a0412">
    <w:name w:val="s670a0412"/>
    <w:basedOn w:val="Normal"/>
    <w:rsid w:val="00B40073"/>
    <w:pPr>
      <w:suppressAutoHyphens w:val="0"/>
      <w:spacing w:before="100" w:beforeAutospacing="1" w:after="100" w:afterAutospacing="1"/>
    </w:pPr>
    <w:rPr>
      <w:szCs w:val="24"/>
      <w:lang w:val="en-GB" w:eastAsia="en-GB"/>
    </w:rPr>
  </w:style>
  <w:style w:type="paragraph" w:customStyle="1" w:styleId="s30eec3f8">
    <w:name w:val="s30eec3f8"/>
    <w:basedOn w:val="Normal"/>
    <w:rsid w:val="009C5770"/>
    <w:pPr>
      <w:suppressAutoHyphens w:val="0"/>
      <w:spacing w:before="100" w:beforeAutospacing="1" w:after="100" w:afterAutospacing="1"/>
    </w:pPr>
    <w:rPr>
      <w:szCs w:val="24"/>
      <w:lang w:val="en-GB" w:eastAsia="en-GB"/>
    </w:rPr>
  </w:style>
  <w:style w:type="paragraph" w:customStyle="1" w:styleId="s19630bcc">
    <w:name w:val="s19630bcc"/>
    <w:basedOn w:val="Normal"/>
    <w:rsid w:val="009C5770"/>
    <w:pPr>
      <w:suppressAutoHyphens w:val="0"/>
      <w:spacing w:before="100" w:beforeAutospacing="1" w:after="100" w:afterAutospacing="1"/>
    </w:pPr>
    <w:rPr>
      <w:szCs w:val="24"/>
      <w:lang w:val="en-GB" w:eastAsia="en-GB"/>
    </w:rPr>
  </w:style>
  <w:style w:type="character" w:customStyle="1" w:styleId="sdfc50a6a">
    <w:name w:val="sdfc50a6a"/>
    <w:basedOn w:val="DefaultParagraphFont"/>
    <w:rsid w:val="009C5770"/>
  </w:style>
  <w:style w:type="paragraph" w:customStyle="1" w:styleId="s9e9b0cd7">
    <w:name w:val="s9e9b0cd7"/>
    <w:basedOn w:val="Normal"/>
    <w:rsid w:val="009C5770"/>
    <w:pPr>
      <w:suppressAutoHyphens w:val="0"/>
      <w:spacing w:before="100" w:beforeAutospacing="1" w:after="100" w:afterAutospacing="1"/>
    </w:pPr>
    <w:rPr>
      <w:szCs w:val="24"/>
      <w:lang w:val="en-GB" w:eastAsia="en-GB"/>
    </w:rPr>
  </w:style>
  <w:style w:type="character" w:customStyle="1" w:styleId="sfbbfee58">
    <w:name w:val="sfbbfee58"/>
    <w:basedOn w:val="DefaultParagraphFont"/>
    <w:rsid w:val="009C5770"/>
  </w:style>
  <w:style w:type="character" w:customStyle="1" w:styleId="sf1c7242d">
    <w:name w:val="sf1c7242d"/>
    <w:basedOn w:val="DefaultParagraphFont"/>
    <w:rsid w:val="00A25801"/>
  </w:style>
  <w:style w:type="paragraph" w:customStyle="1" w:styleId="s6704e5c3">
    <w:name w:val="s6704e5c3"/>
    <w:basedOn w:val="Normal"/>
    <w:rsid w:val="00E17BFF"/>
    <w:pPr>
      <w:suppressAutoHyphens w:val="0"/>
      <w:spacing w:before="100" w:beforeAutospacing="1" w:after="100" w:afterAutospacing="1"/>
    </w:pPr>
    <w:rPr>
      <w:szCs w:val="24"/>
      <w:lang w:val="en-GB" w:eastAsia="en-GB"/>
    </w:rPr>
  </w:style>
  <w:style w:type="paragraph" w:customStyle="1" w:styleId="Default">
    <w:name w:val="Default"/>
    <w:rsid w:val="007838F3"/>
    <w:pPr>
      <w:autoSpaceDE w:val="0"/>
      <w:autoSpaceDN w:val="0"/>
      <w:adjustRightInd w:val="0"/>
    </w:pPr>
    <w:rPr>
      <w:color w:val="000000"/>
      <w:sz w:val="24"/>
      <w:szCs w:val="24"/>
      <w:lang w:val="en-GB" w:eastAsia="en-GB"/>
    </w:rPr>
  </w:style>
  <w:style w:type="paragraph" w:customStyle="1" w:styleId="jupara0">
    <w:name w:val="jupara"/>
    <w:basedOn w:val="Normal"/>
    <w:rsid w:val="00C419B2"/>
    <w:pPr>
      <w:suppressAutoHyphens w:val="0"/>
      <w:ind w:firstLine="284"/>
      <w:jc w:val="both"/>
    </w:pPr>
    <w:rPr>
      <w:szCs w:val="24"/>
      <w:lang w:val="en-GB" w:eastAsia="en-GB"/>
    </w:rPr>
  </w:style>
  <w:style w:type="paragraph" w:customStyle="1" w:styleId="jucase0">
    <w:name w:val="jucase"/>
    <w:basedOn w:val="Normal"/>
    <w:rsid w:val="00C419B2"/>
    <w:pPr>
      <w:suppressAutoHyphens w:val="0"/>
      <w:ind w:firstLine="284"/>
      <w:jc w:val="both"/>
    </w:pPr>
    <w:rPr>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rsid w:val="009A4473"/>
    <w:rPr>
      <w:sz w:val="24"/>
      <w:lang w:val="fr-FR" w:eastAsia="fr-FR" w:bidi="ar-SA"/>
    </w:rPr>
  </w:style>
  <w:style w:type="paragraph" w:customStyle="1" w:styleId="s6e50bd9a">
    <w:name w:val="s6e50bd9a"/>
    <w:basedOn w:val="Normal"/>
    <w:rsid w:val="00B40073"/>
    <w:pPr>
      <w:suppressAutoHyphens w:val="0"/>
      <w:spacing w:before="100" w:beforeAutospacing="1" w:after="100" w:afterAutospacing="1"/>
    </w:pPr>
    <w:rPr>
      <w:szCs w:val="24"/>
      <w:lang w:val="en-GB" w:eastAsia="en-GB"/>
    </w:rPr>
  </w:style>
  <w:style w:type="character" w:customStyle="1" w:styleId="sb8d990e2">
    <w:name w:val="sb8d990e2"/>
    <w:basedOn w:val="DefaultParagraphFont"/>
    <w:rsid w:val="00B40073"/>
  </w:style>
  <w:style w:type="character" w:customStyle="1" w:styleId="sea881cdf">
    <w:name w:val="sea881cdf"/>
    <w:basedOn w:val="DefaultParagraphFont"/>
    <w:rsid w:val="00B40073"/>
  </w:style>
  <w:style w:type="paragraph" w:customStyle="1" w:styleId="s683434d8">
    <w:name w:val="s683434d8"/>
    <w:basedOn w:val="Normal"/>
    <w:rsid w:val="00B40073"/>
    <w:pPr>
      <w:suppressAutoHyphens w:val="0"/>
      <w:spacing w:before="100" w:beforeAutospacing="1" w:after="100" w:afterAutospacing="1"/>
    </w:pPr>
    <w:rPr>
      <w:szCs w:val="24"/>
      <w:lang w:val="en-GB" w:eastAsia="en-GB"/>
    </w:rPr>
  </w:style>
  <w:style w:type="paragraph" w:customStyle="1" w:styleId="sfb943b7b">
    <w:name w:val="sfb943b7b"/>
    <w:basedOn w:val="Normal"/>
    <w:rsid w:val="00B40073"/>
    <w:pPr>
      <w:suppressAutoHyphens w:val="0"/>
      <w:spacing w:before="100" w:beforeAutospacing="1" w:after="100" w:afterAutospacing="1"/>
    </w:pPr>
    <w:rPr>
      <w:szCs w:val="24"/>
      <w:lang w:val="en-GB" w:eastAsia="en-GB"/>
    </w:rPr>
  </w:style>
  <w:style w:type="character" w:customStyle="1" w:styleId="s6b621b36">
    <w:name w:val="s6b621b36"/>
    <w:basedOn w:val="DefaultParagraphFont"/>
    <w:rsid w:val="00B40073"/>
  </w:style>
  <w:style w:type="character" w:customStyle="1" w:styleId="wordhighlighted">
    <w:name w:val="wordhighlighted"/>
    <w:basedOn w:val="DefaultParagraphFont"/>
    <w:rsid w:val="00B40073"/>
  </w:style>
  <w:style w:type="paragraph" w:customStyle="1" w:styleId="s8bf54363">
    <w:name w:val="s8bf54363"/>
    <w:basedOn w:val="Normal"/>
    <w:rsid w:val="00B40073"/>
    <w:pPr>
      <w:suppressAutoHyphens w:val="0"/>
      <w:spacing w:before="100" w:beforeAutospacing="1" w:after="100" w:afterAutospacing="1"/>
    </w:pPr>
    <w:rPr>
      <w:szCs w:val="24"/>
      <w:lang w:val="en-GB" w:eastAsia="en-GB"/>
    </w:rPr>
  </w:style>
  <w:style w:type="paragraph" w:customStyle="1" w:styleId="s32b251d">
    <w:name w:val="s32b251d"/>
    <w:basedOn w:val="Normal"/>
    <w:rsid w:val="00B40073"/>
    <w:pPr>
      <w:suppressAutoHyphens w:val="0"/>
      <w:spacing w:before="100" w:beforeAutospacing="1" w:after="100" w:afterAutospacing="1"/>
    </w:pPr>
    <w:rPr>
      <w:szCs w:val="24"/>
      <w:lang w:val="en-GB" w:eastAsia="en-GB"/>
    </w:rPr>
  </w:style>
  <w:style w:type="character" w:customStyle="1" w:styleId="s7d2086b4">
    <w:name w:val="s7d2086b4"/>
    <w:basedOn w:val="DefaultParagraphFont"/>
    <w:rsid w:val="00B40073"/>
  </w:style>
  <w:style w:type="paragraph" w:customStyle="1" w:styleId="s746c8714">
    <w:name w:val="s746c8714"/>
    <w:basedOn w:val="Normal"/>
    <w:rsid w:val="00B40073"/>
    <w:pPr>
      <w:suppressAutoHyphens w:val="0"/>
      <w:spacing w:before="100" w:beforeAutospacing="1" w:after="100" w:afterAutospacing="1"/>
    </w:pPr>
    <w:rPr>
      <w:szCs w:val="24"/>
      <w:lang w:val="en-GB" w:eastAsia="en-GB"/>
    </w:rPr>
  </w:style>
  <w:style w:type="paragraph" w:customStyle="1" w:styleId="safc256d0">
    <w:name w:val="safc256d0"/>
    <w:basedOn w:val="Normal"/>
    <w:rsid w:val="00B40073"/>
    <w:pPr>
      <w:suppressAutoHyphens w:val="0"/>
      <w:spacing w:before="100" w:beforeAutospacing="1" w:after="100" w:afterAutospacing="1"/>
    </w:pPr>
    <w:rPr>
      <w:szCs w:val="24"/>
      <w:lang w:val="en-GB" w:eastAsia="en-GB"/>
    </w:rPr>
  </w:style>
  <w:style w:type="character" w:customStyle="1" w:styleId="s1da1f149">
    <w:name w:val="s1da1f149"/>
    <w:basedOn w:val="DefaultParagraphFont"/>
    <w:rsid w:val="00B40073"/>
  </w:style>
  <w:style w:type="paragraph" w:customStyle="1" w:styleId="s36bd6e8">
    <w:name w:val="s36bd6e8"/>
    <w:basedOn w:val="Normal"/>
    <w:rsid w:val="00B40073"/>
    <w:pPr>
      <w:suppressAutoHyphens w:val="0"/>
      <w:spacing w:before="100" w:beforeAutospacing="1" w:after="100" w:afterAutospacing="1"/>
    </w:pPr>
    <w:rPr>
      <w:szCs w:val="24"/>
      <w:lang w:val="en-GB" w:eastAsia="en-GB"/>
    </w:rPr>
  </w:style>
  <w:style w:type="character" w:customStyle="1" w:styleId="s23c0e8e7">
    <w:name w:val="s23c0e8e7"/>
    <w:basedOn w:val="DefaultParagraphFont"/>
    <w:rsid w:val="00B40073"/>
  </w:style>
  <w:style w:type="character" w:customStyle="1" w:styleId="sc099204e">
    <w:name w:val="sc099204e"/>
    <w:basedOn w:val="DefaultParagraphFont"/>
    <w:rsid w:val="00B40073"/>
  </w:style>
  <w:style w:type="paragraph" w:customStyle="1" w:styleId="s670a0412">
    <w:name w:val="s670a0412"/>
    <w:basedOn w:val="Normal"/>
    <w:rsid w:val="00B40073"/>
    <w:pPr>
      <w:suppressAutoHyphens w:val="0"/>
      <w:spacing w:before="100" w:beforeAutospacing="1" w:after="100" w:afterAutospacing="1"/>
    </w:pPr>
    <w:rPr>
      <w:szCs w:val="24"/>
      <w:lang w:val="en-GB" w:eastAsia="en-GB"/>
    </w:rPr>
  </w:style>
  <w:style w:type="paragraph" w:customStyle="1" w:styleId="s30eec3f8">
    <w:name w:val="s30eec3f8"/>
    <w:basedOn w:val="Normal"/>
    <w:rsid w:val="009C5770"/>
    <w:pPr>
      <w:suppressAutoHyphens w:val="0"/>
      <w:spacing w:before="100" w:beforeAutospacing="1" w:after="100" w:afterAutospacing="1"/>
    </w:pPr>
    <w:rPr>
      <w:szCs w:val="24"/>
      <w:lang w:val="en-GB" w:eastAsia="en-GB"/>
    </w:rPr>
  </w:style>
  <w:style w:type="paragraph" w:customStyle="1" w:styleId="s19630bcc">
    <w:name w:val="s19630bcc"/>
    <w:basedOn w:val="Normal"/>
    <w:rsid w:val="009C5770"/>
    <w:pPr>
      <w:suppressAutoHyphens w:val="0"/>
      <w:spacing w:before="100" w:beforeAutospacing="1" w:after="100" w:afterAutospacing="1"/>
    </w:pPr>
    <w:rPr>
      <w:szCs w:val="24"/>
      <w:lang w:val="en-GB" w:eastAsia="en-GB"/>
    </w:rPr>
  </w:style>
  <w:style w:type="character" w:customStyle="1" w:styleId="sdfc50a6a">
    <w:name w:val="sdfc50a6a"/>
    <w:basedOn w:val="DefaultParagraphFont"/>
    <w:rsid w:val="009C5770"/>
  </w:style>
  <w:style w:type="paragraph" w:customStyle="1" w:styleId="s9e9b0cd7">
    <w:name w:val="s9e9b0cd7"/>
    <w:basedOn w:val="Normal"/>
    <w:rsid w:val="009C5770"/>
    <w:pPr>
      <w:suppressAutoHyphens w:val="0"/>
      <w:spacing w:before="100" w:beforeAutospacing="1" w:after="100" w:afterAutospacing="1"/>
    </w:pPr>
    <w:rPr>
      <w:szCs w:val="24"/>
      <w:lang w:val="en-GB" w:eastAsia="en-GB"/>
    </w:rPr>
  </w:style>
  <w:style w:type="character" w:customStyle="1" w:styleId="sfbbfee58">
    <w:name w:val="sfbbfee58"/>
    <w:basedOn w:val="DefaultParagraphFont"/>
    <w:rsid w:val="009C5770"/>
  </w:style>
  <w:style w:type="character" w:customStyle="1" w:styleId="sf1c7242d">
    <w:name w:val="sf1c7242d"/>
    <w:basedOn w:val="DefaultParagraphFont"/>
    <w:rsid w:val="00A25801"/>
  </w:style>
  <w:style w:type="paragraph" w:customStyle="1" w:styleId="s6704e5c3">
    <w:name w:val="s6704e5c3"/>
    <w:basedOn w:val="Normal"/>
    <w:rsid w:val="00E17BFF"/>
    <w:pPr>
      <w:suppressAutoHyphens w:val="0"/>
      <w:spacing w:before="100" w:beforeAutospacing="1" w:after="100" w:afterAutospacing="1"/>
    </w:pPr>
    <w:rPr>
      <w:szCs w:val="24"/>
      <w:lang w:val="en-GB" w:eastAsia="en-GB"/>
    </w:rPr>
  </w:style>
  <w:style w:type="paragraph" w:customStyle="1" w:styleId="Default">
    <w:name w:val="Default"/>
    <w:rsid w:val="007838F3"/>
    <w:pPr>
      <w:autoSpaceDE w:val="0"/>
      <w:autoSpaceDN w:val="0"/>
      <w:adjustRightInd w:val="0"/>
    </w:pPr>
    <w:rPr>
      <w:color w:val="000000"/>
      <w:sz w:val="24"/>
      <w:szCs w:val="24"/>
      <w:lang w:val="en-GB" w:eastAsia="en-GB"/>
    </w:rPr>
  </w:style>
  <w:style w:type="paragraph" w:customStyle="1" w:styleId="jupara0">
    <w:name w:val="jupara"/>
    <w:basedOn w:val="Normal"/>
    <w:rsid w:val="00C419B2"/>
    <w:pPr>
      <w:suppressAutoHyphens w:val="0"/>
      <w:ind w:firstLine="284"/>
      <w:jc w:val="both"/>
    </w:pPr>
    <w:rPr>
      <w:szCs w:val="24"/>
      <w:lang w:val="en-GB" w:eastAsia="en-GB"/>
    </w:rPr>
  </w:style>
  <w:style w:type="paragraph" w:customStyle="1" w:styleId="jucase0">
    <w:name w:val="jucase"/>
    <w:basedOn w:val="Normal"/>
    <w:rsid w:val="00C419B2"/>
    <w:pPr>
      <w:suppressAutoHyphens w:val="0"/>
      <w:ind w:firstLine="284"/>
      <w:jc w:val="both"/>
    </w:pPr>
    <w:rPr>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58">
      <w:bodyDiv w:val="1"/>
      <w:marLeft w:val="0"/>
      <w:marRight w:val="0"/>
      <w:marTop w:val="0"/>
      <w:marBottom w:val="0"/>
      <w:divBdr>
        <w:top w:val="none" w:sz="0" w:space="0" w:color="auto"/>
        <w:left w:val="none" w:sz="0" w:space="0" w:color="auto"/>
        <w:bottom w:val="none" w:sz="0" w:space="0" w:color="auto"/>
        <w:right w:val="none" w:sz="0" w:space="0" w:color="auto"/>
      </w:divBdr>
      <w:divsChild>
        <w:div w:id="1893420955">
          <w:marLeft w:val="0"/>
          <w:marRight w:val="0"/>
          <w:marTop w:val="0"/>
          <w:marBottom w:val="0"/>
          <w:divBdr>
            <w:top w:val="none" w:sz="0" w:space="0" w:color="auto"/>
            <w:left w:val="none" w:sz="0" w:space="0" w:color="auto"/>
            <w:bottom w:val="none" w:sz="0" w:space="0" w:color="auto"/>
            <w:right w:val="none" w:sz="0" w:space="0" w:color="auto"/>
          </w:divBdr>
          <w:divsChild>
            <w:div w:id="534658075">
              <w:marLeft w:val="0"/>
              <w:marRight w:val="0"/>
              <w:marTop w:val="0"/>
              <w:marBottom w:val="0"/>
              <w:divBdr>
                <w:top w:val="none" w:sz="0" w:space="0" w:color="auto"/>
                <w:left w:val="none" w:sz="0" w:space="0" w:color="auto"/>
                <w:bottom w:val="none" w:sz="0" w:space="0" w:color="auto"/>
                <w:right w:val="none" w:sz="0" w:space="0" w:color="auto"/>
              </w:divBdr>
              <w:divsChild>
                <w:div w:id="1649163195">
                  <w:marLeft w:val="0"/>
                  <w:marRight w:val="0"/>
                  <w:marTop w:val="0"/>
                  <w:marBottom w:val="0"/>
                  <w:divBdr>
                    <w:top w:val="none" w:sz="0" w:space="0" w:color="auto"/>
                    <w:left w:val="none" w:sz="0" w:space="0" w:color="auto"/>
                    <w:bottom w:val="none" w:sz="0" w:space="0" w:color="auto"/>
                    <w:right w:val="none" w:sz="0" w:space="0" w:color="auto"/>
                  </w:divBdr>
                  <w:divsChild>
                    <w:div w:id="918708930">
                      <w:marLeft w:val="0"/>
                      <w:marRight w:val="0"/>
                      <w:marTop w:val="0"/>
                      <w:marBottom w:val="0"/>
                      <w:divBdr>
                        <w:top w:val="none" w:sz="0" w:space="0" w:color="auto"/>
                        <w:left w:val="none" w:sz="0" w:space="0" w:color="auto"/>
                        <w:bottom w:val="none" w:sz="0" w:space="0" w:color="auto"/>
                        <w:right w:val="none" w:sz="0" w:space="0" w:color="auto"/>
                      </w:divBdr>
                      <w:divsChild>
                        <w:div w:id="25257632">
                          <w:marLeft w:val="0"/>
                          <w:marRight w:val="0"/>
                          <w:marTop w:val="0"/>
                          <w:marBottom w:val="0"/>
                          <w:divBdr>
                            <w:top w:val="none" w:sz="0" w:space="0" w:color="auto"/>
                            <w:left w:val="none" w:sz="0" w:space="0" w:color="auto"/>
                            <w:bottom w:val="none" w:sz="0" w:space="0" w:color="auto"/>
                            <w:right w:val="none" w:sz="0" w:space="0" w:color="auto"/>
                          </w:divBdr>
                          <w:divsChild>
                            <w:div w:id="5639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403026">
      <w:bodyDiv w:val="1"/>
      <w:marLeft w:val="0"/>
      <w:marRight w:val="0"/>
      <w:marTop w:val="0"/>
      <w:marBottom w:val="0"/>
      <w:divBdr>
        <w:top w:val="none" w:sz="0" w:space="0" w:color="auto"/>
        <w:left w:val="none" w:sz="0" w:space="0" w:color="auto"/>
        <w:bottom w:val="none" w:sz="0" w:space="0" w:color="auto"/>
        <w:right w:val="none" w:sz="0" w:space="0" w:color="auto"/>
      </w:divBdr>
      <w:divsChild>
        <w:div w:id="973484967">
          <w:marLeft w:val="0"/>
          <w:marRight w:val="0"/>
          <w:marTop w:val="0"/>
          <w:marBottom w:val="0"/>
          <w:divBdr>
            <w:top w:val="none" w:sz="0" w:space="0" w:color="auto"/>
            <w:left w:val="none" w:sz="0" w:space="0" w:color="auto"/>
            <w:bottom w:val="none" w:sz="0" w:space="0" w:color="auto"/>
            <w:right w:val="none" w:sz="0" w:space="0" w:color="auto"/>
          </w:divBdr>
          <w:divsChild>
            <w:div w:id="1397433041">
              <w:marLeft w:val="0"/>
              <w:marRight w:val="0"/>
              <w:marTop w:val="0"/>
              <w:marBottom w:val="0"/>
              <w:divBdr>
                <w:top w:val="none" w:sz="0" w:space="0" w:color="auto"/>
                <w:left w:val="none" w:sz="0" w:space="0" w:color="auto"/>
                <w:bottom w:val="none" w:sz="0" w:space="0" w:color="auto"/>
                <w:right w:val="none" w:sz="0" w:space="0" w:color="auto"/>
              </w:divBdr>
              <w:divsChild>
                <w:div w:id="2061395810">
                  <w:marLeft w:val="0"/>
                  <w:marRight w:val="0"/>
                  <w:marTop w:val="0"/>
                  <w:marBottom w:val="0"/>
                  <w:divBdr>
                    <w:top w:val="none" w:sz="0" w:space="0" w:color="auto"/>
                    <w:left w:val="none" w:sz="0" w:space="0" w:color="auto"/>
                    <w:bottom w:val="none" w:sz="0" w:space="0" w:color="auto"/>
                    <w:right w:val="none" w:sz="0" w:space="0" w:color="auto"/>
                  </w:divBdr>
                  <w:divsChild>
                    <w:div w:id="1772359300">
                      <w:marLeft w:val="0"/>
                      <w:marRight w:val="0"/>
                      <w:marTop w:val="0"/>
                      <w:marBottom w:val="0"/>
                      <w:divBdr>
                        <w:top w:val="none" w:sz="0" w:space="0" w:color="auto"/>
                        <w:left w:val="none" w:sz="0" w:space="0" w:color="auto"/>
                        <w:bottom w:val="none" w:sz="0" w:space="0" w:color="auto"/>
                        <w:right w:val="none" w:sz="0" w:space="0" w:color="auto"/>
                      </w:divBdr>
                      <w:divsChild>
                        <w:div w:id="762650739">
                          <w:marLeft w:val="0"/>
                          <w:marRight w:val="0"/>
                          <w:marTop w:val="0"/>
                          <w:marBottom w:val="0"/>
                          <w:divBdr>
                            <w:top w:val="none" w:sz="0" w:space="0" w:color="auto"/>
                            <w:left w:val="none" w:sz="0" w:space="0" w:color="auto"/>
                            <w:bottom w:val="none" w:sz="0" w:space="0" w:color="auto"/>
                            <w:right w:val="none" w:sz="0" w:space="0" w:color="auto"/>
                          </w:divBdr>
                          <w:divsChild>
                            <w:div w:id="555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058014">
      <w:bodyDiv w:val="1"/>
      <w:marLeft w:val="0"/>
      <w:marRight w:val="0"/>
      <w:marTop w:val="0"/>
      <w:marBottom w:val="0"/>
      <w:divBdr>
        <w:top w:val="none" w:sz="0" w:space="0" w:color="auto"/>
        <w:left w:val="none" w:sz="0" w:space="0" w:color="auto"/>
        <w:bottom w:val="none" w:sz="0" w:space="0" w:color="auto"/>
        <w:right w:val="none" w:sz="0" w:space="0" w:color="auto"/>
      </w:divBdr>
      <w:divsChild>
        <w:div w:id="561527009">
          <w:marLeft w:val="0"/>
          <w:marRight w:val="0"/>
          <w:marTop w:val="0"/>
          <w:marBottom w:val="0"/>
          <w:divBdr>
            <w:top w:val="none" w:sz="0" w:space="0" w:color="auto"/>
            <w:left w:val="none" w:sz="0" w:space="0" w:color="auto"/>
            <w:bottom w:val="none" w:sz="0" w:space="0" w:color="auto"/>
            <w:right w:val="none" w:sz="0" w:space="0" w:color="auto"/>
          </w:divBdr>
          <w:divsChild>
            <w:div w:id="454909402">
              <w:marLeft w:val="0"/>
              <w:marRight w:val="0"/>
              <w:marTop w:val="0"/>
              <w:marBottom w:val="0"/>
              <w:divBdr>
                <w:top w:val="none" w:sz="0" w:space="0" w:color="auto"/>
                <w:left w:val="none" w:sz="0" w:space="0" w:color="auto"/>
                <w:bottom w:val="none" w:sz="0" w:space="0" w:color="auto"/>
                <w:right w:val="none" w:sz="0" w:space="0" w:color="auto"/>
              </w:divBdr>
              <w:divsChild>
                <w:div w:id="190461793">
                  <w:marLeft w:val="0"/>
                  <w:marRight w:val="0"/>
                  <w:marTop w:val="0"/>
                  <w:marBottom w:val="0"/>
                  <w:divBdr>
                    <w:top w:val="none" w:sz="0" w:space="0" w:color="auto"/>
                    <w:left w:val="none" w:sz="0" w:space="0" w:color="auto"/>
                    <w:bottom w:val="none" w:sz="0" w:space="0" w:color="auto"/>
                    <w:right w:val="none" w:sz="0" w:space="0" w:color="auto"/>
                  </w:divBdr>
                  <w:divsChild>
                    <w:div w:id="694699817">
                      <w:marLeft w:val="0"/>
                      <w:marRight w:val="0"/>
                      <w:marTop w:val="0"/>
                      <w:marBottom w:val="0"/>
                      <w:divBdr>
                        <w:top w:val="none" w:sz="0" w:space="0" w:color="auto"/>
                        <w:left w:val="none" w:sz="0" w:space="0" w:color="auto"/>
                        <w:bottom w:val="none" w:sz="0" w:space="0" w:color="auto"/>
                        <w:right w:val="none" w:sz="0" w:space="0" w:color="auto"/>
                      </w:divBdr>
                      <w:divsChild>
                        <w:div w:id="1018577712">
                          <w:marLeft w:val="0"/>
                          <w:marRight w:val="0"/>
                          <w:marTop w:val="0"/>
                          <w:marBottom w:val="0"/>
                          <w:divBdr>
                            <w:top w:val="none" w:sz="0" w:space="0" w:color="auto"/>
                            <w:left w:val="none" w:sz="0" w:space="0" w:color="auto"/>
                            <w:bottom w:val="none" w:sz="0" w:space="0" w:color="auto"/>
                            <w:right w:val="none" w:sz="0" w:space="0" w:color="auto"/>
                          </w:divBdr>
                          <w:divsChild>
                            <w:div w:id="3584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235851">
      <w:bodyDiv w:val="1"/>
      <w:marLeft w:val="0"/>
      <w:marRight w:val="0"/>
      <w:marTop w:val="0"/>
      <w:marBottom w:val="0"/>
      <w:divBdr>
        <w:top w:val="none" w:sz="0" w:space="0" w:color="auto"/>
        <w:left w:val="none" w:sz="0" w:space="0" w:color="auto"/>
        <w:bottom w:val="none" w:sz="0" w:space="0" w:color="auto"/>
        <w:right w:val="none" w:sz="0" w:space="0" w:color="auto"/>
      </w:divBdr>
      <w:divsChild>
        <w:div w:id="1179736806">
          <w:marLeft w:val="0"/>
          <w:marRight w:val="0"/>
          <w:marTop w:val="0"/>
          <w:marBottom w:val="0"/>
          <w:divBdr>
            <w:top w:val="none" w:sz="0" w:space="0" w:color="auto"/>
            <w:left w:val="none" w:sz="0" w:space="0" w:color="auto"/>
            <w:bottom w:val="none" w:sz="0" w:space="0" w:color="auto"/>
            <w:right w:val="none" w:sz="0" w:space="0" w:color="auto"/>
          </w:divBdr>
          <w:divsChild>
            <w:div w:id="1216357047">
              <w:marLeft w:val="0"/>
              <w:marRight w:val="0"/>
              <w:marTop w:val="0"/>
              <w:marBottom w:val="0"/>
              <w:divBdr>
                <w:top w:val="none" w:sz="0" w:space="0" w:color="auto"/>
                <w:left w:val="none" w:sz="0" w:space="0" w:color="auto"/>
                <w:bottom w:val="none" w:sz="0" w:space="0" w:color="auto"/>
                <w:right w:val="none" w:sz="0" w:space="0" w:color="auto"/>
              </w:divBdr>
              <w:divsChild>
                <w:div w:id="1605453220">
                  <w:marLeft w:val="0"/>
                  <w:marRight w:val="0"/>
                  <w:marTop w:val="0"/>
                  <w:marBottom w:val="0"/>
                  <w:divBdr>
                    <w:top w:val="none" w:sz="0" w:space="0" w:color="auto"/>
                    <w:left w:val="none" w:sz="0" w:space="0" w:color="auto"/>
                    <w:bottom w:val="none" w:sz="0" w:space="0" w:color="auto"/>
                    <w:right w:val="none" w:sz="0" w:space="0" w:color="auto"/>
                  </w:divBdr>
                  <w:divsChild>
                    <w:div w:id="1928886206">
                      <w:marLeft w:val="0"/>
                      <w:marRight w:val="0"/>
                      <w:marTop w:val="0"/>
                      <w:marBottom w:val="0"/>
                      <w:divBdr>
                        <w:top w:val="none" w:sz="0" w:space="0" w:color="auto"/>
                        <w:left w:val="none" w:sz="0" w:space="0" w:color="auto"/>
                        <w:bottom w:val="none" w:sz="0" w:space="0" w:color="auto"/>
                        <w:right w:val="none" w:sz="0" w:space="0" w:color="auto"/>
                      </w:divBdr>
                      <w:divsChild>
                        <w:div w:id="2050688113">
                          <w:marLeft w:val="0"/>
                          <w:marRight w:val="0"/>
                          <w:marTop w:val="0"/>
                          <w:marBottom w:val="0"/>
                          <w:divBdr>
                            <w:top w:val="none" w:sz="0" w:space="0" w:color="auto"/>
                            <w:left w:val="none" w:sz="0" w:space="0" w:color="auto"/>
                            <w:bottom w:val="none" w:sz="0" w:space="0" w:color="auto"/>
                            <w:right w:val="none" w:sz="0" w:space="0" w:color="auto"/>
                          </w:divBdr>
                          <w:divsChild>
                            <w:div w:id="1827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13039">
      <w:bodyDiv w:val="1"/>
      <w:marLeft w:val="0"/>
      <w:marRight w:val="0"/>
      <w:marTop w:val="0"/>
      <w:marBottom w:val="0"/>
      <w:divBdr>
        <w:top w:val="none" w:sz="0" w:space="0" w:color="auto"/>
        <w:left w:val="none" w:sz="0" w:space="0" w:color="auto"/>
        <w:bottom w:val="none" w:sz="0" w:space="0" w:color="auto"/>
        <w:right w:val="none" w:sz="0" w:space="0" w:color="auto"/>
      </w:divBdr>
      <w:divsChild>
        <w:div w:id="158153267">
          <w:marLeft w:val="0"/>
          <w:marRight w:val="0"/>
          <w:marTop w:val="0"/>
          <w:marBottom w:val="0"/>
          <w:divBdr>
            <w:top w:val="none" w:sz="0" w:space="0" w:color="auto"/>
            <w:left w:val="none" w:sz="0" w:space="0" w:color="auto"/>
            <w:bottom w:val="none" w:sz="0" w:space="0" w:color="auto"/>
            <w:right w:val="none" w:sz="0" w:space="0" w:color="auto"/>
          </w:divBdr>
          <w:divsChild>
            <w:div w:id="153304906">
              <w:marLeft w:val="0"/>
              <w:marRight w:val="0"/>
              <w:marTop w:val="0"/>
              <w:marBottom w:val="0"/>
              <w:divBdr>
                <w:top w:val="none" w:sz="0" w:space="0" w:color="auto"/>
                <w:left w:val="none" w:sz="0" w:space="0" w:color="auto"/>
                <w:bottom w:val="none" w:sz="0" w:space="0" w:color="auto"/>
                <w:right w:val="none" w:sz="0" w:space="0" w:color="auto"/>
              </w:divBdr>
              <w:divsChild>
                <w:div w:id="1233588095">
                  <w:marLeft w:val="0"/>
                  <w:marRight w:val="0"/>
                  <w:marTop w:val="0"/>
                  <w:marBottom w:val="0"/>
                  <w:divBdr>
                    <w:top w:val="none" w:sz="0" w:space="0" w:color="auto"/>
                    <w:left w:val="none" w:sz="0" w:space="0" w:color="auto"/>
                    <w:bottom w:val="none" w:sz="0" w:space="0" w:color="auto"/>
                    <w:right w:val="none" w:sz="0" w:space="0" w:color="auto"/>
                  </w:divBdr>
                  <w:divsChild>
                    <w:div w:id="1671373101">
                      <w:marLeft w:val="0"/>
                      <w:marRight w:val="0"/>
                      <w:marTop w:val="0"/>
                      <w:marBottom w:val="0"/>
                      <w:divBdr>
                        <w:top w:val="none" w:sz="0" w:space="0" w:color="auto"/>
                        <w:left w:val="none" w:sz="0" w:space="0" w:color="auto"/>
                        <w:bottom w:val="none" w:sz="0" w:space="0" w:color="auto"/>
                        <w:right w:val="none" w:sz="0" w:space="0" w:color="auto"/>
                      </w:divBdr>
                      <w:divsChild>
                        <w:div w:id="1084842557">
                          <w:marLeft w:val="0"/>
                          <w:marRight w:val="0"/>
                          <w:marTop w:val="0"/>
                          <w:marBottom w:val="0"/>
                          <w:divBdr>
                            <w:top w:val="none" w:sz="0" w:space="0" w:color="auto"/>
                            <w:left w:val="none" w:sz="0" w:space="0" w:color="auto"/>
                            <w:bottom w:val="none" w:sz="0" w:space="0" w:color="auto"/>
                            <w:right w:val="none" w:sz="0" w:space="0" w:color="auto"/>
                          </w:divBdr>
                          <w:divsChild>
                            <w:div w:id="8681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84747">
      <w:bodyDiv w:val="1"/>
      <w:marLeft w:val="0"/>
      <w:marRight w:val="0"/>
      <w:marTop w:val="0"/>
      <w:marBottom w:val="0"/>
      <w:divBdr>
        <w:top w:val="none" w:sz="0" w:space="0" w:color="auto"/>
        <w:left w:val="none" w:sz="0" w:space="0" w:color="auto"/>
        <w:bottom w:val="none" w:sz="0" w:space="0" w:color="auto"/>
        <w:right w:val="none" w:sz="0" w:space="0" w:color="auto"/>
      </w:divBdr>
      <w:divsChild>
        <w:div w:id="771319734">
          <w:marLeft w:val="0"/>
          <w:marRight w:val="0"/>
          <w:marTop w:val="0"/>
          <w:marBottom w:val="0"/>
          <w:divBdr>
            <w:top w:val="none" w:sz="0" w:space="0" w:color="auto"/>
            <w:left w:val="none" w:sz="0" w:space="0" w:color="auto"/>
            <w:bottom w:val="none" w:sz="0" w:space="0" w:color="auto"/>
            <w:right w:val="none" w:sz="0" w:space="0" w:color="auto"/>
          </w:divBdr>
          <w:divsChild>
            <w:div w:id="808404664">
              <w:marLeft w:val="0"/>
              <w:marRight w:val="0"/>
              <w:marTop w:val="0"/>
              <w:marBottom w:val="0"/>
              <w:divBdr>
                <w:top w:val="none" w:sz="0" w:space="0" w:color="auto"/>
                <w:left w:val="none" w:sz="0" w:space="0" w:color="auto"/>
                <w:bottom w:val="none" w:sz="0" w:space="0" w:color="auto"/>
                <w:right w:val="none" w:sz="0" w:space="0" w:color="auto"/>
              </w:divBdr>
              <w:divsChild>
                <w:div w:id="147937891">
                  <w:marLeft w:val="0"/>
                  <w:marRight w:val="0"/>
                  <w:marTop w:val="0"/>
                  <w:marBottom w:val="0"/>
                  <w:divBdr>
                    <w:top w:val="none" w:sz="0" w:space="0" w:color="auto"/>
                    <w:left w:val="none" w:sz="0" w:space="0" w:color="auto"/>
                    <w:bottom w:val="none" w:sz="0" w:space="0" w:color="auto"/>
                    <w:right w:val="none" w:sz="0" w:space="0" w:color="auto"/>
                  </w:divBdr>
                  <w:divsChild>
                    <w:div w:id="853767303">
                      <w:marLeft w:val="0"/>
                      <w:marRight w:val="0"/>
                      <w:marTop w:val="0"/>
                      <w:marBottom w:val="0"/>
                      <w:divBdr>
                        <w:top w:val="none" w:sz="0" w:space="0" w:color="auto"/>
                        <w:left w:val="none" w:sz="0" w:space="0" w:color="auto"/>
                        <w:bottom w:val="none" w:sz="0" w:space="0" w:color="auto"/>
                        <w:right w:val="none" w:sz="0" w:space="0" w:color="auto"/>
                      </w:divBdr>
                      <w:divsChild>
                        <w:div w:id="1884438821">
                          <w:marLeft w:val="0"/>
                          <w:marRight w:val="0"/>
                          <w:marTop w:val="0"/>
                          <w:marBottom w:val="0"/>
                          <w:divBdr>
                            <w:top w:val="none" w:sz="0" w:space="0" w:color="auto"/>
                            <w:left w:val="none" w:sz="0" w:space="0" w:color="auto"/>
                            <w:bottom w:val="none" w:sz="0" w:space="0" w:color="auto"/>
                            <w:right w:val="none" w:sz="0" w:space="0" w:color="auto"/>
                          </w:divBdr>
                          <w:divsChild>
                            <w:div w:id="11419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759253888">
      <w:bodyDiv w:val="1"/>
      <w:marLeft w:val="0"/>
      <w:marRight w:val="0"/>
      <w:marTop w:val="0"/>
      <w:marBottom w:val="0"/>
      <w:divBdr>
        <w:top w:val="none" w:sz="0" w:space="0" w:color="auto"/>
        <w:left w:val="none" w:sz="0" w:space="0" w:color="auto"/>
        <w:bottom w:val="none" w:sz="0" w:space="0" w:color="auto"/>
        <w:right w:val="none" w:sz="0" w:space="0" w:color="auto"/>
      </w:divBdr>
      <w:divsChild>
        <w:div w:id="535847682">
          <w:marLeft w:val="0"/>
          <w:marRight w:val="0"/>
          <w:marTop w:val="0"/>
          <w:marBottom w:val="0"/>
          <w:divBdr>
            <w:top w:val="none" w:sz="0" w:space="0" w:color="auto"/>
            <w:left w:val="none" w:sz="0" w:space="0" w:color="auto"/>
            <w:bottom w:val="none" w:sz="0" w:space="0" w:color="auto"/>
            <w:right w:val="none" w:sz="0" w:space="0" w:color="auto"/>
          </w:divBdr>
          <w:divsChild>
            <w:div w:id="670985851">
              <w:marLeft w:val="0"/>
              <w:marRight w:val="0"/>
              <w:marTop w:val="0"/>
              <w:marBottom w:val="0"/>
              <w:divBdr>
                <w:top w:val="none" w:sz="0" w:space="0" w:color="auto"/>
                <w:left w:val="none" w:sz="0" w:space="0" w:color="auto"/>
                <w:bottom w:val="none" w:sz="0" w:space="0" w:color="auto"/>
                <w:right w:val="none" w:sz="0" w:space="0" w:color="auto"/>
              </w:divBdr>
              <w:divsChild>
                <w:div w:id="89814035">
                  <w:marLeft w:val="0"/>
                  <w:marRight w:val="0"/>
                  <w:marTop w:val="0"/>
                  <w:marBottom w:val="0"/>
                  <w:divBdr>
                    <w:top w:val="none" w:sz="0" w:space="0" w:color="auto"/>
                    <w:left w:val="none" w:sz="0" w:space="0" w:color="auto"/>
                    <w:bottom w:val="none" w:sz="0" w:space="0" w:color="auto"/>
                    <w:right w:val="none" w:sz="0" w:space="0" w:color="auto"/>
                  </w:divBdr>
                  <w:divsChild>
                    <w:div w:id="643656375">
                      <w:marLeft w:val="0"/>
                      <w:marRight w:val="0"/>
                      <w:marTop w:val="0"/>
                      <w:marBottom w:val="0"/>
                      <w:divBdr>
                        <w:top w:val="none" w:sz="0" w:space="0" w:color="auto"/>
                        <w:left w:val="none" w:sz="0" w:space="0" w:color="auto"/>
                        <w:bottom w:val="none" w:sz="0" w:space="0" w:color="auto"/>
                        <w:right w:val="none" w:sz="0" w:space="0" w:color="auto"/>
                      </w:divBdr>
                      <w:divsChild>
                        <w:div w:id="920721971">
                          <w:marLeft w:val="0"/>
                          <w:marRight w:val="0"/>
                          <w:marTop w:val="0"/>
                          <w:marBottom w:val="0"/>
                          <w:divBdr>
                            <w:top w:val="none" w:sz="0" w:space="0" w:color="auto"/>
                            <w:left w:val="none" w:sz="0" w:space="0" w:color="auto"/>
                            <w:bottom w:val="none" w:sz="0" w:space="0" w:color="auto"/>
                            <w:right w:val="none" w:sz="0" w:space="0" w:color="auto"/>
                          </w:divBdr>
                          <w:divsChild>
                            <w:div w:id="379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7883">
      <w:bodyDiv w:val="1"/>
      <w:marLeft w:val="0"/>
      <w:marRight w:val="0"/>
      <w:marTop w:val="0"/>
      <w:marBottom w:val="0"/>
      <w:divBdr>
        <w:top w:val="none" w:sz="0" w:space="0" w:color="auto"/>
        <w:left w:val="none" w:sz="0" w:space="0" w:color="auto"/>
        <w:bottom w:val="none" w:sz="0" w:space="0" w:color="auto"/>
        <w:right w:val="none" w:sz="0" w:space="0" w:color="auto"/>
      </w:divBdr>
      <w:divsChild>
        <w:div w:id="562258096">
          <w:marLeft w:val="0"/>
          <w:marRight w:val="0"/>
          <w:marTop w:val="0"/>
          <w:marBottom w:val="0"/>
          <w:divBdr>
            <w:top w:val="none" w:sz="0" w:space="0" w:color="auto"/>
            <w:left w:val="none" w:sz="0" w:space="0" w:color="auto"/>
            <w:bottom w:val="none" w:sz="0" w:space="0" w:color="auto"/>
            <w:right w:val="none" w:sz="0" w:space="0" w:color="auto"/>
          </w:divBdr>
          <w:divsChild>
            <w:div w:id="1844739819">
              <w:marLeft w:val="0"/>
              <w:marRight w:val="0"/>
              <w:marTop w:val="0"/>
              <w:marBottom w:val="0"/>
              <w:divBdr>
                <w:top w:val="none" w:sz="0" w:space="0" w:color="auto"/>
                <w:left w:val="none" w:sz="0" w:space="0" w:color="auto"/>
                <w:bottom w:val="none" w:sz="0" w:space="0" w:color="auto"/>
                <w:right w:val="none" w:sz="0" w:space="0" w:color="auto"/>
              </w:divBdr>
              <w:divsChild>
                <w:div w:id="1704986264">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58212162">
                          <w:marLeft w:val="0"/>
                          <w:marRight w:val="0"/>
                          <w:marTop w:val="0"/>
                          <w:marBottom w:val="0"/>
                          <w:divBdr>
                            <w:top w:val="none" w:sz="0" w:space="0" w:color="auto"/>
                            <w:left w:val="none" w:sz="0" w:space="0" w:color="auto"/>
                            <w:bottom w:val="none" w:sz="0" w:space="0" w:color="auto"/>
                            <w:right w:val="none" w:sz="0" w:space="0" w:color="auto"/>
                          </w:divBdr>
                          <w:divsChild>
                            <w:div w:id="1352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40585-EB0F-4074-81DC-4B2C22D01AC1}">
  <ds:schemaRefs>
    <ds:schemaRef ds:uri="http://schemas.microsoft.com/sharepoint/v3/contenttype/forms"/>
  </ds:schemaRefs>
</ds:datastoreItem>
</file>

<file path=customXml/itemProps2.xml><?xml version="1.0" encoding="utf-8"?>
<ds:datastoreItem xmlns:ds="http://schemas.openxmlformats.org/officeDocument/2006/customXml" ds:itemID="{AB9B63B8-60B0-4DED-8012-6FCA5E67A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15577</Words>
  <Characters>88794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7</cp:revision>
  <cp:lastPrinted>2012-12-06T08:42:00Z</cp:lastPrinted>
  <dcterms:created xsi:type="dcterms:W3CDTF">2013-05-16T13:40:00Z</dcterms:created>
  <dcterms:modified xsi:type="dcterms:W3CDTF">2013-05-16T13:40:00Z</dcterms:modified>
  <cp:category>ECHR Template</cp:category>
</cp:coreProperties>
</file>